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6A8B54">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16bis</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2513923</w:t>
      </w:r>
    </w:p>
    <w:p w14:paraId="59E79803">
      <w:pPr>
        <w:pStyle w:val="16"/>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Prague, Czech Republic, Oct. 13-17, 202</w:t>
      </w:r>
      <w:r>
        <w:rPr>
          <w:rFonts w:hint="eastAsia" w:eastAsia="宋体" w:cs="Arial"/>
          <w:b/>
          <w:sz w:val="24"/>
          <w:szCs w:val="24"/>
          <w:lang w:val="en-US" w:eastAsia="zh-CN"/>
        </w:rPr>
        <w:t>5</w:t>
      </w:r>
    </w:p>
    <w:p w14:paraId="18ECFEEF">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14:paraId="1D54B168">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14:paraId="18BFE11E">
      <w:pPr>
        <w:pStyle w:val="16"/>
        <w:tabs>
          <w:tab w:val="left" w:pos="1800"/>
          <w:tab w:val="left" w:pos="3825"/>
          <w:tab w:val="clear" w:pos="4536"/>
          <w:tab w:val="clear" w:pos="9072"/>
        </w:tabs>
        <w:spacing w:after="60"/>
        <w:ind w:left="482" w:hanging="482" w:hangingChars="20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RRM aspects of R20 Low band carrier aggregation </w:t>
      </w:r>
    </w:p>
    <w:p w14:paraId="1C2167BD">
      <w:pPr>
        <w:pStyle w:val="16"/>
        <w:tabs>
          <w:tab w:val="left" w:pos="1800"/>
          <w:tab w:val="left" w:pos="3825"/>
          <w:tab w:val="clear" w:pos="4536"/>
          <w:tab w:val="clear" w:pos="9072"/>
        </w:tabs>
        <w:spacing w:after="60"/>
        <w:ind w:leftChars="900"/>
        <w:jc w:val="both"/>
        <w:rPr>
          <w:rFonts w:hint="default" w:eastAsia="宋体"/>
          <w:color w:val="auto"/>
          <w:sz w:val="24"/>
          <w:lang w:val="en-US" w:eastAsia="zh-CN"/>
        </w:rPr>
      </w:pPr>
      <w:r>
        <w:rPr>
          <w:rFonts w:hint="eastAsia" w:eastAsia="宋体"/>
          <w:color w:val="auto"/>
          <w:sz w:val="24"/>
          <w:lang w:val="en-US" w:eastAsia="zh-CN"/>
        </w:rPr>
        <w:t>via switching</w:t>
      </w:r>
    </w:p>
    <w:p w14:paraId="4E3D6517">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7.8.4</w:t>
      </w:r>
    </w:p>
    <w:p w14:paraId="60504242">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14:paraId="4C199CE6">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14:paraId="5FA9E5B5">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In latest RAN#109 meeting, a new R20 WID of Low band carrier aggregation via switching was approved in [1] and led by RAN4. The objectives of this new WID are captured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A14D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70F8B0C4">
            <w:pPr>
              <w:pStyle w:val="4"/>
              <w:rPr>
                <w:color w:val="0000FF"/>
              </w:rPr>
            </w:pPr>
            <w:r>
              <w:rPr>
                <w:color w:val="0000FF"/>
              </w:rPr>
              <w:t>4.1</w:t>
            </w:r>
            <w:r>
              <w:rPr>
                <w:color w:val="0000FF"/>
              </w:rPr>
              <w:tab/>
            </w:r>
            <w:r>
              <w:rPr>
                <w:color w:val="0000FF"/>
              </w:rPr>
              <w:t>Objective of SI or Core part WI or Testing part WI</w:t>
            </w:r>
          </w:p>
          <w:p w14:paraId="15C4A556">
            <w:pPr>
              <w:rPr>
                <w:b/>
                <w:bCs/>
                <w:iCs/>
                <w:lang w:eastAsia="zh-CN"/>
              </w:rPr>
            </w:pPr>
            <w:r>
              <w:rPr>
                <w:rFonts w:hint="eastAsia"/>
                <w:b/>
                <w:bCs/>
                <w:iCs/>
                <w:lang w:eastAsia="zh-CN"/>
              </w:rPr>
              <w:t>The core part of WI:</w:t>
            </w:r>
          </w:p>
          <w:p w14:paraId="618EF887">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Specify the necessary UE RF and RRM core requirements to allow switching between {case 1, case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 to enable low band carrier aggregation via switching for the dual downlink scenario between FDD band and SDL band [RAN4].</w:t>
            </w:r>
          </w:p>
          <w:p w14:paraId="44E14802">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Case 1: Tx/Rx on FDD carrier 1 and no Rx on SDL carrier 2.</w:t>
            </w:r>
          </w:p>
          <w:p w14:paraId="11943CF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 xml:space="preserve">Case </w:t>
            </w:r>
            <w:r>
              <w:rPr>
                <w:rFonts w:hint="eastAsia"/>
                <w:color w:val="000000" w:themeColor="text1"/>
                <w:lang w:eastAsia="zh-CN"/>
                <w14:textFill>
                  <w14:solidFill>
                    <w14:schemeClr w14:val="tx1"/>
                  </w14:solidFill>
                </w14:textFill>
              </w:rPr>
              <w:t>3</w:t>
            </w:r>
            <w:r>
              <w:rPr>
                <w:color w:val="000000" w:themeColor="text1"/>
                <w14:textFill>
                  <w14:solidFill>
                    <w14:schemeClr w14:val="tx1"/>
                  </w14:solidFill>
                </w14:textFill>
              </w:rPr>
              <w:t>: Rx on both FDD carrier 1 and SDL carrier 2 and no Tx on FDD carrier 1.</w:t>
            </w:r>
          </w:p>
          <w:p w14:paraId="7EF360BC">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E</w:t>
            </w:r>
            <w:r>
              <w:rPr>
                <w:color w:val="000000" w:themeColor="text1"/>
                <w14:textFill>
                  <w14:solidFill>
                    <w14:schemeClr w14:val="tx1"/>
                  </w14:solidFill>
                </w14:textFill>
              </w:rPr>
              <w:t xml:space="preserve">xample band combinations: CA_n12A-n29A and </w:t>
            </w:r>
            <w:r>
              <w:rPr>
                <w:color w:val="000000" w:themeColor="text1"/>
                <w:highlight w:val="none"/>
                <w14:textFill>
                  <w14:solidFill>
                    <w14:schemeClr w14:val="tx1"/>
                  </w14:solidFill>
                </w14:textFill>
              </w:rPr>
              <w:t>CA_n28</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-n67</w:t>
            </w:r>
            <w:r>
              <w:rPr>
                <w:rFonts w:hint="eastAsia"/>
                <w:color w:val="000000" w:themeColor="text1"/>
                <w:highlight w:val="none"/>
                <w:lang w:eastAsia="zh-CN"/>
                <w14:textFill>
                  <w14:solidFill>
                    <w14:schemeClr w14:val="tx1"/>
                  </w14:solidFill>
                </w14:textFill>
              </w:rPr>
              <w:t>A</w:t>
            </w:r>
            <w:r>
              <w:rPr>
                <w:color w:val="000000" w:themeColor="text1"/>
                <w:highlight w:val="none"/>
                <w14:textFill>
                  <w14:solidFill>
                    <w14:schemeClr w14:val="tx1"/>
                  </w14:solidFill>
                </w14:textFill>
              </w:rPr>
              <w:t>,</w:t>
            </w:r>
            <w:r>
              <w:rPr>
                <w:color w:val="000000" w:themeColor="text1"/>
                <w14:textFill>
                  <w14:solidFill>
                    <w14:schemeClr w14:val="tx1"/>
                  </w14:solidFill>
                </w14:textFill>
              </w:rPr>
              <w:t xml:space="preserve"> additional FDD+SDL band combinations can be added in the specific basket WI after this WI is completed.</w:t>
            </w:r>
          </w:p>
          <w:p w14:paraId="59D3156A">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Reuse the time mask requirements defined in Rel-19 for low-band CA via switching as much as possible</w:t>
            </w:r>
          </w:p>
          <w:p w14:paraId="62DC336D">
            <w:pPr>
              <w:pStyle w:val="30"/>
              <w:numPr>
                <w:ilvl w:val="1"/>
                <w:numId w:val="5"/>
              </w:numPr>
              <w:spacing w:after="0"/>
              <w:ind w:left="993" w:firstLineChars="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 xml:space="preserve">Note: Case 2 is specified in Rel-19 WID of </w:t>
            </w:r>
            <w:r>
              <w:rPr>
                <w:color w:val="000000" w:themeColor="text1"/>
                <w:lang w:eastAsia="zh-CN"/>
                <w14:textFill>
                  <w14:solidFill>
                    <w14:schemeClr w14:val="tx1"/>
                  </w14:solidFill>
                </w14:textFill>
              </w:rPr>
              <w:t>NR_LBCA_Sw</w:t>
            </w:r>
          </w:p>
          <w:p w14:paraId="11E96CEF">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Reuse the semi-static switching mechanism based on RRC configuration defined in Rel-19 for low-band CA via switching</w:t>
            </w:r>
          </w:p>
          <w:p w14:paraId="4B05C083">
            <w:pPr>
              <w:pStyle w:val="30"/>
              <w:numPr>
                <w:ilvl w:val="0"/>
                <w:numId w:val="5"/>
              </w:numPr>
              <w:spacing w:after="0"/>
              <w:ind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Consider the following deployment constraints: </w:t>
            </w:r>
          </w:p>
          <w:p w14:paraId="36B7501C">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The carrier frequency for all cases is &lt;1GHz.</w:t>
            </w:r>
          </w:p>
          <w:p w14:paraId="318918F1">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Co-located and synchronized network deployment for both carriers.</w:t>
            </w:r>
          </w:p>
          <w:p w14:paraId="738E9610">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Both carriers are in a single TAG.</w:t>
            </w:r>
          </w:p>
          <w:p w14:paraId="401FCCB6">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SCS 15Khz on both carriers.</w:t>
            </w:r>
          </w:p>
          <w:p w14:paraId="1EFD4759">
            <w:pPr>
              <w:pStyle w:val="30"/>
              <w:numPr>
                <w:ilvl w:val="1"/>
                <w:numId w:val="5"/>
              </w:numPr>
              <w:spacing w:after="0"/>
              <w:ind w:left="993" w:firstLineChars="0"/>
              <w:rPr>
                <w:color w:val="000000" w:themeColor="text1"/>
                <w14:textFill>
                  <w14:solidFill>
                    <w14:schemeClr w14:val="tx1"/>
                  </w14:solidFill>
                </w14:textFill>
              </w:rPr>
            </w:pPr>
            <w:r>
              <w:rPr>
                <w:color w:val="000000" w:themeColor="text1"/>
                <w14:textFill>
                  <w14:solidFill>
                    <w14:schemeClr w14:val="tx1"/>
                  </w14:solidFill>
                </w14:textFill>
              </w:rPr>
              <w:t>No in-gap interference between DL carriers is expected</w:t>
            </w:r>
          </w:p>
          <w:p w14:paraId="6C89BD22">
            <w:pPr>
              <w:pStyle w:val="30"/>
              <w:ind w:left="442" w:firstLine="0" w:firstLineChars="0"/>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Note 1: Reuse Rel-19 LB-CA RAN4 requirements as much as possible</w:t>
            </w:r>
            <w:r>
              <w:rPr>
                <w:rFonts w:hint="eastAsia"/>
                <w:color w:val="000000" w:themeColor="text1"/>
                <w:lang w:eastAsia="zh-CN"/>
                <w14:textFill>
                  <w14:solidFill>
                    <w14:schemeClr w14:val="tx1"/>
                  </w14:solidFill>
                </w14:textFill>
              </w:rPr>
              <w:t>.</w:t>
            </w:r>
          </w:p>
          <w:p w14:paraId="07278475">
            <w:pPr>
              <w:pStyle w:val="4"/>
              <w:rPr>
                <w:color w:val="0000FF"/>
              </w:rPr>
            </w:pPr>
            <w:r>
              <w:rPr>
                <w:color w:val="0000FF"/>
              </w:rPr>
              <w:t>4.2</w:t>
            </w:r>
            <w:r>
              <w:rPr>
                <w:color w:val="0000FF"/>
              </w:rPr>
              <w:tab/>
            </w:r>
            <w:r>
              <w:rPr>
                <w:color w:val="0000FF"/>
              </w:rPr>
              <w:t>Objective of Performance part WI</w:t>
            </w:r>
          </w:p>
          <w:p w14:paraId="6BCD52D3">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5057B25A">
            <w:pPr>
              <w:pStyle w:val="30"/>
              <w:numPr>
                <w:ilvl w:val="0"/>
                <w:numId w:val="5"/>
              </w:numPr>
              <w:ind w:left="442" w:hanging="442" w:firstLineChars="0"/>
              <w:rPr>
                <w:rFonts w:hint="default"/>
                <w:vertAlign w:val="baseline"/>
                <w:lang w:val="en-US" w:eastAsia="zh-CN"/>
              </w:rPr>
            </w:pPr>
            <w:r>
              <w:rPr>
                <w:color w:val="000000" w:themeColor="text1"/>
                <w:lang w:eastAsia="zh-CN"/>
                <w14:textFill>
                  <w14:solidFill>
                    <w14:schemeClr w14:val="tx1"/>
                  </w14:solidFill>
                </w14:textFill>
              </w:rPr>
              <w:t>Specify RRM test case(s) corresponding to the RRM core requirements.</w:t>
            </w:r>
          </w:p>
        </w:tc>
      </w:tr>
    </w:tbl>
    <w:p w14:paraId="261ECB30">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This WID intends to support some low bands CA through switching between FDD band and SDL band such as n12+n29 and n28+n67. Although such band combinations are already specified in TS38.101-1, this practical implementation challenge may pose a barrier for the combination</w:t>
      </w:r>
      <w:r>
        <w:rPr>
          <w:rFonts w:hint="default" w:cs="Arial"/>
          <w:lang w:val="en-US" w:eastAsia="zh-CN"/>
        </w:rPr>
        <w:t>’</w:t>
      </w:r>
      <w:r>
        <w:rPr>
          <w:rFonts w:hint="eastAsia" w:cs="Arial"/>
          <w:lang w:val="en-US" w:eastAsia="zh-CN"/>
        </w:rPr>
        <w:t>s adoption in a wide range of devices. As a result the solution of switching between the two bands is necessary to facilitate CA with such band combinations.</w:t>
      </w:r>
    </w:p>
    <w:p w14:paraId="34DD1862">
      <w:pPr>
        <w:pStyle w:val="10"/>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The successful experience in the development of R19 low band CA could provide good reference for this new WID. It could be seen that better downlink performance is foreseen via enabling dual DL in this new WID compared with R19 WID. According the time budget of this WID, the discussion on RRM aspects would kick off in this meeting, we provide our overall analysis on this new WID in this paper.</w:t>
      </w:r>
    </w:p>
    <w:p w14:paraId="6AC4748C">
      <w:pPr>
        <w:pStyle w:val="2"/>
        <w:keepNext w:val="0"/>
        <w:keepLines w:val="0"/>
        <w:pageBreakBefore w:val="0"/>
        <w:widowControl w:val="0"/>
        <w:numPr>
          <w:ilvl w:val="0"/>
          <w:numId w:val="4"/>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bookmarkStart w:id="0" w:name="_GoBack"/>
      <w:bookmarkEnd w:id="0"/>
      <w:r>
        <w:rPr>
          <w:rFonts w:hint="eastAsia" w:eastAsia="宋体"/>
          <w:color w:val="auto"/>
          <w:lang w:eastAsia="zh-CN"/>
        </w:rPr>
        <w:t>Discussion</w:t>
      </w:r>
    </w:p>
    <w:p w14:paraId="6CEA0E8F">
      <w:pPr>
        <w:pStyle w:val="3"/>
        <w:bidi w:val="0"/>
        <w:rPr>
          <w:rFonts w:hint="eastAsia"/>
          <w:lang w:val="en-US" w:eastAsia="zh-CN"/>
        </w:rPr>
      </w:pPr>
      <w:r>
        <w:rPr>
          <w:rFonts w:hint="eastAsia"/>
          <w:lang w:val="en-US" w:eastAsia="zh-CN"/>
        </w:rPr>
        <w:t>2.1 Band combinations for low band CA</w:t>
      </w:r>
    </w:p>
    <w:p w14:paraId="3855243A">
      <w:pPr>
        <w:pStyle w:val="10"/>
        <w:bidi w:val="0"/>
        <w:rPr>
          <w:rFonts w:hint="eastAsia"/>
          <w:lang w:val="en-US" w:eastAsia="zh-CN"/>
        </w:rPr>
      </w:pPr>
      <w:r>
        <w:rPr>
          <w:rFonts w:hint="eastAsia"/>
          <w:lang w:val="en-US" w:eastAsia="zh-CN"/>
        </w:rPr>
        <w:t xml:space="preserve">As it is noted in the WID, to support the low band CA through switching, specify requirements for the feature with the example band combination CA_n12A-n29A and CA_n28A-n67A, and with additional band combinations to be handled via the basket work item approach. </w:t>
      </w:r>
    </w:p>
    <w:p w14:paraId="0C98540F">
      <w:pPr>
        <w:pStyle w:val="10"/>
        <w:bidi w:val="0"/>
        <w:rPr>
          <w:rFonts w:hint="eastAsia"/>
          <w:lang w:val="en-US" w:eastAsia="zh-CN"/>
        </w:rPr>
      </w:pPr>
      <w:r>
        <w:rPr>
          <w:rFonts w:hint="eastAsia"/>
          <w:lang w:val="en-US" w:eastAsia="zh-CN"/>
        </w:rPr>
        <w:t>So before diving into the RRM aspect analysis, it is necessary to overview these example band combinations and compare with the typical band combination(CA_n5A-n29A) of R19 low band CA, so that to determine whether and how to leverage experience from R19 low band CA.</w:t>
      </w:r>
    </w:p>
    <w:p w14:paraId="2944D2E2">
      <w:pPr>
        <w:pStyle w:val="10"/>
        <w:bidi w:val="0"/>
      </w:pPr>
      <w:r>
        <w:rPr>
          <w:rFonts w:hint="eastAsia"/>
          <w:lang w:val="en-US" w:eastAsia="zh-CN"/>
        </w:rPr>
        <w:t>The following band combinations are proposed as potential scenarios to facilitate the deployment of low band CA through switching solution in [2]:</w:t>
      </w:r>
    </w:p>
    <w:p w14:paraId="59D01405">
      <w:pPr>
        <w:pStyle w:val="10"/>
        <w:bidi w:val="0"/>
      </w:pPr>
      <w:r>
        <w:drawing>
          <wp:inline distT="0" distB="0" distL="114300" distR="114300">
            <wp:extent cx="5901055" cy="1011555"/>
            <wp:effectExtent l="0" t="0" r="4445" b="1714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5"/>
                    <a:stretch>
                      <a:fillRect/>
                    </a:stretch>
                  </pic:blipFill>
                  <pic:spPr>
                    <a:xfrm>
                      <a:off x="0" y="0"/>
                      <a:ext cx="5901055" cy="1011555"/>
                    </a:xfrm>
                    <a:prstGeom prst="rect">
                      <a:avLst/>
                    </a:prstGeom>
                    <a:noFill/>
                    <a:ln>
                      <a:noFill/>
                    </a:ln>
                  </pic:spPr>
                </pic:pic>
              </a:graphicData>
            </a:graphic>
          </wp:inline>
        </w:drawing>
      </w:r>
    </w:p>
    <w:p w14:paraId="528D37ED">
      <w:pPr>
        <w:pStyle w:val="10"/>
        <w:bidi w:val="0"/>
      </w:pPr>
      <w:r>
        <w:drawing>
          <wp:inline distT="0" distB="0" distL="114300" distR="114300">
            <wp:extent cx="5894070" cy="852805"/>
            <wp:effectExtent l="0" t="0" r="11430" b="44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6"/>
                    <a:stretch>
                      <a:fillRect/>
                    </a:stretch>
                  </pic:blipFill>
                  <pic:spPr>
                    <a:xfrm>
                      <a:off x="0" y="0"/>
                      <a:ext cx="5894070" cy="852805"/>
                    </a:xfrm>
                    <a:prstGeom prst="rect">
                      <a:avLst/>
                    </a:prstGeom>
                    <a:noFill/>
                    <a:ln>
                      <a:noFill/>
                    </a:ln>
                  </pic:spPr>
                </pic:pic>
              </a:graphicData>
            </a:graphic>
          </wp:inline>
        </w:drawing>
      </w:r>
    </w:p>
    <w:p w14:paraId="6C16D2FC">
      <w:pPr>
        <w:pStyle w:val="10"/>
        <w:bidi w:val="0"/>
        <w:rPr>
          <w:rFonts w:hint="default"/>
          <w:lang w:val="en-US" w:eastAsia="zh-CN"/>
        </w:rPr>
      </w:pPr>
      <w:r>
        <w:drawing>
          <wp:inline distT="0" distB="0" distL="114300" distR="114300">
            <wp:extent cx="5894070" cy="860425"/>
            <wp:effectExtent l="0" t="0" r="11430" b="15875"/>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7"/>
                    <a:stretch>
                      <a:fillRect/>
                    </a:stretch>
                  </pic:blipFill>
                  <pic:spPr>
                    <a:xfrm>
                      <a:off x="0" y="0"/>
                      <a:ext cx="5894070" cy="860425"/>
                    </a:xfrm>
                    <a:prstGeom prst="rect">
                      <a:avLst/>
                    </a:prstGeom>
                    <a:noFill/>
                    <a:ln>
                      <a:noFill/>
                    </a:ln>
                  </pic:spPr>
                </pic:pic>
              </a:graphicData>
            </a:graphic>
          </wp:inline>
        </w:drawing>
      </w:r>
    </w:p>
    <w:p w14:paraId="21F451CD">
      <w:pPr>
        <w:pStyle w:val="10"/>
        <w:bidi w:val="0"/>
        <w:rPr>
          <w:rFonts w:hint="eastAsia"/>
          <w:lang w:val="en-US" w:eastAsia="zh-CN"/>
        </w:rPr>
      </w:pPr>
      <w:r>
        <w:rPr>
          <w:rFonts w:hint="eastAsia"/>
          <w:lang w:val="en-US" w:eastAsia="zh-CN"/>
        </w:rPr>
        <w:t>It can been seen that different from CA_n5A-n29A, why need to support CA through switching for CA_n12A-n29A and CA_n28A-n67A, mainly lies in the bottleneck of duplexer. Since the frequency of UL carrier in FDD cell is quite close to or even overlapping with the frequency of SDL cell, it is hard for the duplexer to accommodate both SDL carrier and the UL carrier in parallel. As a result, the switching solution is needed to facilitate the CA between such two bands. On the other hand, since the frequency of UL carrier in FDD cell and the SDL carrier are close to each other, the Rx antenna could serve the two DL carriers simultaneously, so even the switching solution is utilized, dual DL carriers are allowed in parallel.</w:t>
      </w:r>
    </w:p>
    <w:p w14:paraId="0C95E53E">
      <w:pPr>
        <w:pStyle w:val="10"/>
        <w:bidi w:val="0"/>
        <w:rPr>
          <w:rFonts w:hint="eastAsia"/>
          <w:lang w:val="en-US" w:eastAsia="zh-CN"/>
        </w:rPr>
      </w:pPr>
      <w:r>
        <w:rPr>
          <w:rFonts w:hint="eastAsia"/>
          <w:lang w:val="en-US" w:eastAsia="zh-CN"/>
        </w:rPr>
        <w:t>Based on the analysis above, one major difference from R19 low band CA is dual Rx in two DL carriers  allowed in R20 case, so the switching happens between the below two statuses:</w:t>
      </w:r>
    </w:p>
    <w:p w14:paraId="2475399C">
      <w:pPr>
        <w:pStyle w:val="10"/>
        <w:bidi w:val="0"/>
        <w:ind w:leftChars="100"/>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Case 1: Tx/Rx on FDD carrier 1 and no Rx on SDL carrier 2</w:t>
      </w:r>
    </w:p>
    <w:p w14:paraId="33A59075">
      <w:pPr>
        <w:pStyle w:val="10"/>
        <w:bidi w:val="0"/>
        <w:ind w:leftChars="100"/>
        <w:rPr>
          <w:rFonts w:hint="default"/>
          <w:lang w:val="en-US" w:eastAsia="zh-CN"/>
        </w:rPr>
      </w:pPr>
      <w:r>
        <w:rPr>
          <w:rFonts w:hint="eastAsia" w:eastAsia="宋体"/>
          <w:color w:val="000000" w:themeColor="text1"/>
          <w:lang w:val="en-US" w:eastAsia="zh-CN"/>
          <w14:textFill>
            <w14:solidFill>
              <w14:schemeClr w14:val="tx1"/>
            </w14:solidFill>
          </w14:textFill>
        </w:rPr>
        <w:t xml:space="preserve">- </w:t>
      </w:r>
      <w:r>
        <w:rPr>
          <w:color w:val="000000" w:themeColor="text1"/>
          <w14:textFill>
            <w14:solidFill>
              <w14:schemeClr w14:val="tx1"/>
            </w14:solidFill>
          </w14:textFill>
        </w:rPr>
        <w:t xml:space="preserve">Case </w:t>
      </w:r>
      <w:r>
        <w:rPr>
          <w:rFonts w:hint="eastAsia"/>
          <w:color w:val="000000" w:themeColor="text1"/>
          <w:lang w:eastAsia="zh-CN"/>
          <w14:textFill>
            <w14:solidFill>
              <w14:schemeClr w14:val="tx1"/>
            </w14:solidFill>
          </w14:textFill>
        </w:rPr>
        <w:t>3</w:t>
      </w:r>
      <w:r>
        <w:rPr>
          <w:color w:val="000000" w:themeColor="text1"/>
          <w14:textFill>
            <w14:solidFill>
              <w14:schemeClr w14:val="tx1"/>
            </w14:solidFill>
          </w14:textFill>
        </w:rPr>
        <w:t>: Rx on both FDD carrier 1 and SDL carrier 2 and no Tx on FDD carrier 1</w:t>
      </w:r>
    </w:p>
    <w:p w14:paraId="45A35DD5">
      <w:pPr>
        <w:pStyle w:val="3"/>
        <w:bidi w:val="0"/>
        <w:rPr>
          <w:rFonts w:hint="default"/>
          <w:lang w:val="en-US" w:eastAsia="zh-CN"/>
        </w:rPr>
      </w:pPr>
      <w:r>
        <w:rPr>
          <w:rFonts w:hint="eastAsia"/>
          <w:lang w:val="en-US" w:eastAsia="zh-CN"/>
        </w:rPr>
        <w:t>2.2 RRM impact analysis</w:t>
      </w:r>
    </w:p>
    <w:p w14:paraId="65E58949">
      <w:pPr>
        <w:pStyle w:val="10"/>
        <w:bidi w:val="0"/>
        <w:rPr>
          <w:rFonts w:hint="eastAsia"/>
          <w:lang w:val="en-US" w:eastAsia="zh-CN"/>
        </w:rPr>
      </w:pPr>
      <w:r>
        <w:rPr>
          <w:rFonts w:hint="eastAsia"/>
          <w:lang w:val="en-US" w:eastAsia="zh-CN"/>
        </w:rPr>
        <w:t xml:space="preserve">Before diving into the study of the switching between Case 1 and Case 3, it is better to overview the RRM progress achieved in the switching between Case 1 and Case 2 in R19 low band CA. </w:t>
      </w:r>
    </w:p>
    <w:p w14:paraId="18FBD084">
      <w:pPr>
        <w:pStyle w:val="10"/>
        <w:bidi w:val="0"/>
        <w:rPr>
          <w:rFonts w:hint="eastAsia"/>
          <w:lang w:val="en-US" w:eastAsia="zh-CN"/>
        </w:rPr>
      </w:pPr>
      <w:r>
        <w:rPr>
          <w:rFonts w:hint="eastAsia"/>
          <w:lang w:val="en-US" w:eastAsia="zh-CN"/>
        </w:rPr>
        <w:t>In R19 low band CA, to facilitate the CA via switching, semi-static switching pattern is specified by RAN1. The RRM impacts on both FDD PCell and SDL SCell were identified and finally specified. Especially the RRM impacts on SDL SCell were split into three phases:</w:t>
      </w:r>
    </w:p>
    <w:p w14:paraId="03869151">
      <w:pPr>
        <w:ind w:leftChars="100"/>
        <w:rPr>
          <w:rFonts w:hint="eastAsia"/>
          <w:lang w:val="en-US" w:eastAsia="zh-CN"/>
        </w:rPr>
      </w:pPr>
      <w:r>
        <w:rPr>
          <w:rFonts w:hint="eastAsia"/>
          <w:lang w:val="en-US" w:eastAsia="zh-CN"/>
        </w:rPr>
        <w:t xml:space="preserve">- The phase of deactivated SCell </w:t>
      </w:r>
    </w:p>
    <w:p w14:paraId="0BF452DC">
      <w:pPr>
        <w:ind w:leftChars="100"/>
        <w:rPr>
          <w:rFonts w:hint="eastAsia"/>
          <w:lang w:val="en-US" w:eastAsia="zh-CN"/>
        </w:rPr>
      </w:pPr>
      <w:r>
        <w:rPr>
          <w:rFonts w:hint="eastAsia"/>
          <w:lang w:val="en-US" w:eastAsia="zh-CN"/>
        </w:rPr>
        <w:t>- The phase of SCell activation procedure</w:t>
      </w:r>
    </w:p>
    <w:p w14:paraId="42ACAFEA">
      <w:pPr>
        <w:ind w:leftChars="100"/>
        <w:rPr>
          <w:rFonts w:hint="default"/>
          <w:lang w:val="en-US" w:eastAsia="zh-CN"/>
        </w:rPr>
      </w:pPr>
      <w:r>
        <w:rPr>
          <w:rFonts w:hint="eastAsia"/>
          <w:lang w:val="en-US" w:eastAsia="zh-CN"/>
        </w:rPr>
        <w:t>- The phase of activated SCell</w:t>
      </w:r>
    </w:p>
    <w:p w14:paraId="0C50F4FC">
      <w:pPr>
        <w:pStyle w:val="10"/>
        <w:bidi w:val="0"/>
        <w:rPr>
          <w:rFonts w:hint="eastAsia"/>
          <w:lang w:val="en-US" w:eastAsia="zh-CN"/>
        </w:rPr>
      </w:pPr>
      <w:r>
        <w:rPr>
          <w:rFonts w:hint="eastAsia"/>
          <w:lang w:val="en-US" w:eastAsia="zh-CN"/>
        </w:rPr>
        <w:t xml:space="preserve">Since no traffic needs during the phase of deactivated SCell, the switching pattern is determined not applicable for this phase, i.e when the SCell is deactivated, the UE is assumed always dwelling on the PCell instead of switching based on the switching pattern. To allow the UE to perform deactivated SCell measurement based on the configuration of measCycleSCell, the corresponding interruption on PCell is led to. </w:t>
      </w:r>
    </w:p>
    <w:p w14:paraId="5FFF118A">
      <w:pPr>
        <w:pStyle w:val="10"/>
        <w:bidi w:val="0"/>
        <w:rPr>
          <w:rFonts w:hint="eastAsia"/>
          <w:lang w:val="en-US" w:eastAsia="zh-CN"/>
        </w:rPr>
      </w:pPr>
      <w:r>
        <w:rPr>
          <w:rFonts w:hint="eastAsia"/>
          <w:lang w:val="en-US" w:eastAsia="zh-CN"/>
        </w:rPr>
        <w:t xml:space="preserve">The switching pattern is applicable to both the other two phases, i.e. the phase of SCell activation procedure and the phase of activated SCell. UE is allowed to perform SCell measurement(without gap) only on the available measurement occasions based on the switching pattern during the two phases. So the legacy Kp is optimized to take the switching pattern into account on top of the legacy considerations. </w:t>
      </w:r>
    </w:p>
    <w:p w14:paraId="2E4CD995">
      <w:pPr>
        <w:pStyle w:val="10"/>
        <w:bidi w:val="0"/>
        <w:rPr>
          <w:rFonts w:hint="eastAsia"/>
          <w:lang w:val="en-US" w:eastAsia="zh-CN"/>
        </w:rPr>
      </w:pPr>
      <w:r>
        <w:rPr>
          <w:rFonts w:hint="eastAsia"/>
          <w:lang w:val="en-US" w:eastAsia="zh-CN"/>
        </w:rPr>
        <w:t>The all impacts on PCell measurement could be summarized as to adapt to the switching pattern, i.e. only the available measurement occasions based on switching pattern could be used for the PCell measurement, including L3 measurement and L1 measurement.</w:t>
      </w:r>
    </w:p>
    <w:p w14:paraId="5DA671A8">
      <w:pPr>
        <w:pStyle w:val="10"/>
        <w:bidi w:val="0"/>
        <w:rPr>
          <w:rFonts w:hint="eastAsia"/>
          <w:lang w:val="en-US" w:eastAsia="zh-CN"/>
        </w:rPr>
      </w:pPr>
      <w:r>
        <w:rPr>
          <w:rFonts w:hint="eastAsia"/>
          <w:lang w:val="en-US" w:eastAsia="zh-CN"/>
        </w:rPr>
        <w:t>In addition to all the measurement/interruption relevant requirements, the MRTD between the FDD PCell and SDL SCell was also defined as 3us since they are co-located deployed.</w:t>
      </w:r>
    </w:p>
    <w:p w14:paraId="1683C2E1">
      <w:pPr>
        <w:pStyle w:val="10"/>
        <w:bidi w:val="0"/>
        <w:rPr>
          <w:rFonts w:hint="default"/>
          <w:lang w:val="en-US" w:eastAsia="zh-CN"/>
        </w:rPr>
      </w:pPr>
      <w:r>
        <w:rPr>
          <w:rFonts w:hint="eastAsia"/>
          <w:lang w:val="en-US" w:eastAsia="zh-CN"/>
        </w:rPr>
        <w:t xml:space="preserve">We depict the switching between Case 1 and Case 3 for R20 low band CA as Figure 1, and compared with the switching between Case 1 and Case 2 in R19 low band CA shown in Figure 2, the main difference lies in whether the FDD DL carrier is available during the period of SDL carrier ON. Consequently, take the RRM requirements specified in R19 low base CA as starting point, and further identify the updates to adapt to this main difference. </w:t>
      </w:r>
    </w:p>
    <w:p w14:paraId="23BF28A6">
      <w:pPr>
        <w:pStyle w:val="10"/>
        <w:bidi w:val="0"/>
      </w:pPr>
      <w:r>
        <w:drawing>
          <wp:inline distT="0" distB="0" distL="114300" distR="114300">
            <wp:extent cx="5899150" cy="970915"/>
            <wp:effectExtent l="0" t="0" r="6350" b="635"/>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899150" cy="970915"/>
                    </a:xfrm>
                    <a:prstGeom prst="rect">
                      <a:avLst/>
                    </a:prstGeom>
                    <a:noFill/>
                    <a:ln>
                      <a:noFill/>
                    </a:ln>
                  </pic:spPr>
                </pic:pic>
              </a:graphicData>
            </a:graphic>
          </wp:inline>
        </w:drawing>
      </w:r>
    </w:p>
    <w:p w14:paraId="26354CFB">
      <w:pPr>
        <w:pStyle w:val="10"/>
        <w:bidi w:val="0"/>
        <w:jc w:val="center"/>
        <w:rPr>
          <w:rFonts w:hint="default" w:eastAsia="宋体"/>
          <w:lang w:val="en-US" w:eastAsia="zh-CN"/>
        </w:rPr>
      </w:pPr>
      <w:r>
        <w:rPr>
          <w:rFonts w:hint="eastAsia" w:eastAsia="宋体"/>
          <w:lang w:val="en-US" w:eastAsia="zh-CN"/>
        </w:rPr>
        <w:t>Figure 1. Switching between Case 1 and Case 3 for R20 low band CA</w:t>
      </w:r>
    </w:p>
    <w:p w14:paraId="576DFEDA">
      <w:pPr>
        <w:pStyle w:val="10"/>
        <w:bidi w:val="0"/>
      </w:pPr>
      <w:r>
        <w:drawing>
          <wp:inline distT="0" distB="0" distL="114300" distR="114300">
            <wp:extent cx="5899150" cy="970915"/>
            <wp:effectExtent l="0" t="0" r="6350" b="635"/>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9"/>
                    <a:stretch>
                      <a:fillRect/>
                    </a:stretch>
                  </pic:blipFill>
                  <pic:spPr>
                    <a:xfrm>
                      <a:off x="0" y="0"/>
                      <a:ext cx="5899150" cy="970915"/>
                    </a:xfrm>
                    <a:prstGeom prst="rect">
                      <a:avLst/>
                    </a:prstGeom>
                    <a:noFill/>
                    <a:ln>
                      <a:noFill/>
                    </a:ln>
                  </pic:spPr>
                </pic:pic>
              </a:graphicData>
            </a:graphic>
          </wp:inline>
        </w:drawing>
      </w:r>
    </w:p>
    <w:p w14:paraId="7AFC2140">
      <w:pPr>
        <w:pStyle w:val="10"/>
        <w:bidi w:val="0"/>
        <w:jc w:val="center"/>
        <w:rPr>
          <w:rFonts w:hint="default" w:eastAsia="宋体"/>
          <w:lang w:val="en-US" w:eastAsia="zh-CN"/>
        </w:rPr>
      </w:pPr>
      <w:r>
        <w:rPr>
          <w:rFonts w:hint="eastAsia" w:eastAsia="宋体"/>
          <w:lang w:val="en-US" w:eastAsia="zh-CN"/>
        </w:rPr>
        <w:t>Figure 2. Switching between Case 1 and Case 2 for R19 low band CA</w:t>
      </w:r>
    </w:p>
    <w:p w14:paraId="05974541">
      <w:pPr>
        <w:pStyle w:val="10"/>
        <w:bidi w:val="0"/>
        <w:rPr>
          <w:rFonts w:hint="default"/>
          <w:b/>
          <w:bCs/>
          <w:lang w:val="en-US" w:eastAsia="zh-CN"/>
        </w:rPr>
      </w:pPr>
      <w:r>
        <w:rPr>
          <w:rFonts w:hint="eastAsia"/>
          <w:b/>
          <w:bCs/>
          <w:lang w:val="en-US" w:eastAsia="zh-CN"/>
        </w:rPr>
        <w:t>Proposal 1: Take the RRM requirements specified in R19 low band CA as a starting point, and further adapt to the change between R19 switching and R20 switching.</w:t>
      </w:r>
    </w:p>
    <w:p w14:paraId="36E284CC">
      <w:pPr>
        <w:pStyle w:val="10"/>
        <w:numPr>
          <w:ilvl w:val="0"/>
          <w:numId w:val="0"/>
        </w:numPr>
        <w:bidi w:val="0"/>
        <w:ind w:leftChars="0"/>
        <w:rPr>
          <w:rFonts w:hint="eastAsia"/>
          <w:u w:val="single"/>
          <w:lang w:val="en-US" w:eastAsia="zh-CN"/>
        </w:rPr>
      </w:pPr>
      <w:r>
        <w:rPr>
          <w:rFonts w:hint="eastAsia"/>
          <w:u w:val="single"/>
          <w:lang w:val="en-US" w:eastAsia="zh-CN"/>
        </w:rPr>
        <w:t>RTD between the two low bands</w:t>
      </w:r>
    </w:p>
    <w:p w14:paraId="457CC17F">
      <w:pPr>
        <w:pStyle w:val="10"/>
        <w:numPr>
          <w:ilvl w:val="0"/>
          <w:numId w:val="0"/>
        </w:numPr>
        <w:bidi w:val="0"/>
        <w:ind w:leftChars="0"/>
        <w:rPr>
          <w:rFonts w:hint="eastAsia"/>
          <w:lang w:val="en-US" w:eastAsia="zh-CN"/>
        </w:rPr>
      </w:pPr>
      <w:r>
        <w:rPr>
          <w:rFonts w:hint="eastAsia"/>
          <w:lang w:val="en-US" w:eastAsia="zh-CN"/>
        </w:rPr>
        <w:t>Since same co-located deployment scenario is assumed as R19 low band CA, the MRTD between PCell and SCell defined in R19 low band CA could be reused, i.e. the maximum receive timing difference for collocated FDD PCell and SDL SCell CA via switching is 3us.</w:t>
      </w:r>
    </w:p>
    <w:p w14:paraId="04D6A3B2">
      <w:pPr>
        <w:pStyle w:val="10"/>
        <w:bidi w:val="0"/>
        <w:rPr>
          <w:rFonts w:hint="default"/>
          <w:u w:val="single"/>
          <w:lang w:val="en-US" w:eastAsia="zh-CN"/>
        </w:rPr>
      </w:pPr>
      <w:r>
        <w:rPr>
          <w:rFonts w:hint="eastAsia"/>
          <w:b/>
          <w:bCs/>
          <w:lang w:val="en-US" w:eastAsia="zh-CN"/>
        </w:rPr>
        <w:t>Proposal 2: Reuse the MRTD requirement specified in R19 low band CA via switching.</w:t>
      </w:r>
    </w:p>
    <w:p w14:paraId="639AF2B6">
      <w:pPr>
        <w:pStyle w:val="10"/>
        <w:numPr>
          <w:ilvl w:val="0"/>
          <w:numId w:val="0"/>
        </w:numPr>
        <w:bidi w:val="0"/>
        <w:ind w:leftChars="0"/>
        <w:rPr>
          <w:rFonts w:hint="eastAsia"/>
          <w:u w:val="single"/>
          <w:lang w:val="en-US" w:eastAsia="zh-CN"/>
        </w:rPr>
      </w:pPr>
      <w:r>
        <w:rPr>
          <w:rFonts w:hint="eastAsia"/>
          <w:u w:val="single"/>
          <w:lang w:val="en-US" w:eastAsia="zh-CN"/>
        </w:rPr>
        <w:t>Timing between the two low bands</w:t>
      </w:r>
    </w:p>
    <w:p w14:paraId="399E043E">
      <w:pPr>
        <w:pStyle w:val="10"/>
        <w:bidi w:val="0"/>
        <w:rPr>
          <w:rFonts w:hint="default"/>
          <w:lang w:val="en-US" w:eastAsia="zh-CN"/>
        </w:rPr>
      </w:pPr>
      <w:r>
        <w:rPr>
          <w:rFonts w:hint="eastAsia"/>
          <w:lang w:val="en-US" w:eastAsia="zh-CN"/>
        </w:rPr>
        <w:t>UE can initiate RACH to achieve UL syn at either band but only one TAG is maintained for the FDD plus FDD band combination. For the FDD plus SDL band combination, since no UL demand at SDL band, the UL timing is only utilized for the FDD band. So it seems not any enhancement relevant to UL timing for the low band CA.</w:t>
      </w:r>
    </w:p>
    <w:p w14:paraId="49ED3FDD">
      <w:pPr>
        <w:pStyle w:val="10"/>
        <w:bidi w:val="0"/>
        <w:rPr>
          <w:rFonts w:hint="eastAsia"/>
          <w:lang w:val="en-US" w:eastAsia="zh-CN"/>
        </w:rPr>
      </w:pPr>
      <w:r>
        <w:rPr>
          <w:rFonts w:hint="eastAsia"/>
          <w:lang w:val="en-US" w:eastAsia="zh-CN"/>
        </w:rPr>
        <w:t xml:space="preserve">Based on specification in clause 7.1.1 in 38.133 as below, the reference cell used for providing DL frame could only be the SpCell for pTAG. So for the FDD plus SDL band combination, the FDD cell(PCell) is always the reference cell.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65082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BF07744">
            <w:pPr>
              <w:pStyle w:val="3"/>
              <w:spacing w:line="240" w:lineRule="auto"/>
            </w:pPr>
            <w:r>
              <w:t>7.1</w:t>
            </w:r>
            <w:r>
              <w:tab/>
            </w:r>
            <w:r>
              <w:t>UE transmit timing</w:t>
            </w:r>
          </w:p>
          <w:p w14:paraId="7BE37339">
            <w:pPr>
              <w:pStyle w:val="4"/>
              <w:spacing w:line="240" w:lineRule="auto"/>
            </w:pPr>
            <w:r>
              <w:t>7.1.1</w:t>
            </w:r>
            <w:r>
              <w:tab/>
            </w:r>
            <w:r>
              <w:t>Introduction</w:t>
            </w:r>
          </w:p>
          <w:p w14:paraId="0221F1ED">
            <w:pPr>
              <w:spacing w:line="240" w:lineRule="auto"/>
              <w:rPr>
                <w:rFonts w:hint="default" w:eastAsia="宋体"/>
                <w:color w:val="0000FF"/>
                <w:sz w:val="15"/>
                <w:szCs w:val="15"/>
                <w:lang w:val="en-US" w:eastAsia="zh-CN"/>
              </w:rPr>
            </w:pPr>
            <w:r>
              <w:rPr>
                <w:rFonts w:cs="v4.2.0"/>
              </w:rPr>
              <w:t xml:space="preserve">The UE shall have capability to follow the frame timing change of the </w:t>
            </w:r>
            <w:r>
              <w:rPr>
                <w:highlight w:val="yellow"/>
              </w:rPr>
              <w:t>reference cell</w:t>
            </w:r>
            <w:r>
              <w:rPr>
                <w:rFonts w:cs="v4.2.0"/>
              </w:rPr>
              <w:t xml:space="preserve"> in connected </w:t>
            </w:r>
            <w:r>
              <w:t>state or when transmiting PUSCH on CG resources for SDT in RRC_Inactive</w:t>
            </w:r>
            <w:r>
              <w:rPr>
                <w:rFonts w:cs="v4.2.0"/>
              </w:rPr>
              <w:t>. The uplink frame transmission takes place</w:t>
            </w:r>
            <w:r>
              <w:rPr>
                <w:rFonts w:cs="v4.2.0"/>
                <w:vertAlign w:val="subscript"/>
              </w:rPr>
              <w:t xml:space="preserve"> </w:t>
            </w:r>
            <w:r>
              <w:rPr>
                <w:position w:val="-10"/>
              </w:rPr>
              <w:object>
                <v:shape id="_x0000_i1025" o:spt="75" type="#_x0000_t75" style="height:11.5pt;width:87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cs="v4.2.0"/>
              </w:rPr>
              <w:t xml:space="preserve"> before the reception of the first detected path (in time) of the </w:t>
            </w:r>
            <w:r>
              <w:rPr>
                <w:rFonts w:cs="v4.2.0"/>
                <w:highlight w:val="yellow"/>
              </w:rPr>
              <w:t>corresponding downlink frame</w:t>
            </w:r>
            <w:r>
              <w:rPr>
                <w:highlight w:val="yellow"/>
              </w:rPr>
              <w:t xml:space="preserve"> from the reference cell</w:t>
            </w:r>
            <w:r>
              <w:t xml:space="preserve">. For </w:t>
            </w:r>
            <w:r>
              <w:rPr>
                <w:lang w:eastAsia="ja-JP"/>
              </w:rPr>
              <w:t xml:space="preserve">serving cell(s) in </w:t>
            </w:r>
            <w:r>
              <w:rPr>
                <w:rFonts w:hint="eastAsia"/>
                <w:lang w:eastAsia="zh-CN"/>
              </w:rPr>
              <w:t>p</w:t>
            </w:r>
            <w:r>
              <w:t>TAG,</w:t>
            </w:r>
            <w:r>
              <w:rPr>
                <w:rFonts w:cs="v4.2.0"/>
              </w:rPr>
              <w:t xml:space="preserve"> </w:t>
            </w:r>
            <w:r>
              <w:t>UE shall use the SpCell as the reference cell for deriving the UE transmit timing for cells in the</w:t>
            </w:r>
            <w:r>
              <w:rPr>
                <w:highlight w:val="yellow"/>
              </w:rPr>
              <w:t xml:space="preserve"> </w:t>
            </w:r>
            <w:r>
              <w:rPr>
                <w:rFonts w:hint="eastAsia"/>
                <w:highlight w:val="yellow"/>
                <w:lang w:eastAsia="zh-CN"/>
              </w:rPr>
              <w:t>p</w:t>
            </w:r>
            <w:r>
              <w:rPr>
                <w:highlight w:val="yellow"/>
              </w:rPr>
              <w:t>TAG</w:t>
            </w:r>
            <w:r>
              <w:t xml:space="preserve">. </w:t>
            </w:r>
            <w:r>
              <w:rPr>
                <w:lang w:eastAsia="ja-JP"/>
              </w:rPr>
              <w:t xml:space="preserve">For serving cell(s) in </w:t>
            </w:r>
            <w:r>
              <w:rPr>
                <w:rFonts w:hint="eastAsia"/>
                <w:highlight w:val="yellow"/>
                <w:lang w:eastAsia="zh-CN"/>
              </w:rPr>
              <w:t>s</w:t>
            </w:r>
            <w:r>
              <w:rPr>
                <w:highlight w:val="yellow"/>
                <w:lang w:eastAsia="ja-JP"/>
              </w:rPr>
              <w:t>TAG</w:t>
            </w:r>
            <w:r>
              <w:rPr>
                <w:lang w:eastAsia="ja-JP"/>
              </w:rPr>
              <w:t xml:space="preserve">, </w:t>
            </w:r>
            <w:r>
              <w:t xml:space="preserve">UE shall use any of the </w:t>
            </w:r>
            <w:r>
              <w:rPr>
                <w:lang w:eastAsia="ja-JP"/>
              </w:rPr>
              <w:t xml:space="preserve">activated SCells </w:t>
            </w:r>
            <w:r>
              <w:t xml:space="preserve">as the reference cell for deriving the UE transmit timing for </w:t>
            </w:r>
            <w:r>
              <w:rPr>
                <w:lang w:eastAsia="ja-JP"/>
              </w:rPr>
              <w:t xml:space="preserve">the </w:t>
            </w:r>
            <w:r>
              <w:t xml:space="preserve">cells in the </w:t>
            </w:r>
            <w:r>
              <w:rPr>
                <w:rFonts w:hint="eastAsia"/>
                <w:lang w:eastAsia="zh-CN"/>
              </w:rPr>
              <w:t>s</w:t>
            </w:r>
            <w:r>
              <w:t xml:space="preserve">TAG. </w:t>
            </w:r>
            <w:r>
              <w:rPr>
                <w:rFonts w:cs="v4.2.0"/>
              </w:rPr>
              <w:t>UE initial transmit timing accuracy</w:t>
            </w:r>
            <w:r>
              <w:rPr>
                <w:rFonts w:hint="eastAsia" w:cs="v4.2.0"/>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hint="eastAsia" w:eastAsia="宋体" w:cs="v4.2.0"/>
                <w:lang w:val="en-US" w:eastAsia="zh-CN"/>
              </w:rPr>
              <w:t xml:space="preserve"> </w:t>
            </w:r>
          </w:p>
          <w:p w14:paraId="332A4FD0">
            <w:pPr>
              <w:spacing w:line="240" w:lineRule="auto"/>
              <w:rPr>
                <w:rFonts w:hint="eastAsia" w:eastAsia="宋体"/>
                <w:lang w:val="en-US" w:eastAsia="zh-CN"/>
              </w:rPr>
            </w:pPr>
            <w:r>
              <w:rPr>
                <w:rFonts w:hint="eastAsia" w:eastAsia="宋体"/>
                <w:lang w:val="en-US" w:eastAsia="zh-CN"/>
              </w:rPr>
              <w:t>...</w:t>
            </w:r>
          </w:p>
          <w:p w14:paraId="72D73FC5">
            <w:pPr>
              <w:pStyle w:val="4"/>
              <w:spacing w:line="240" w:lineRule="auto"/>
            </w:pPr>
            <w:r>
              <w:t>7.1.2</w:t>
            </w:r>
            <w:r>
              <w:tab/>
            </w:r>
            <w:r>
              <w:t>Requirements</w:t>
            </w:r>
          </w:p>
          <w:p w14:paraId="17DBE51B">
            <w:pPr>
              <w:widowControl w:val="0"/>
              <w:numPr>
                <w:ilvl w:val="0"/>
                <w:numId w:val="0"/>
              </w:numPr>
              <w:spacing w:line="240" w:lineRule="auto"/>
              <w:jc w:val="both"/>
              <w:rPr>
                <w:rFonts w:hint="eastAsia" w:eastAsia="宋体"/>
                <w:lang w:val="en-US" w:eastAsia="zh-CN"/>
              </w:rPr>
            </w:pPr>
            <w:r>
              <w:rPr>
                <w:rFonts w:hint="eastAsia" w:eastAsia="宋体"/>
                <w:lang w:val="en-US" w:eastAsia="zh-CN"/>
              </w:rPr>
              <w:t>...</w:t>
            </w:r>
          </w:p>
          <w:p w14:paraId="4985877D">
            <w:pPr>
              <w:spacing w:line="240" w:lineRule="auto"/>
              <w:rPr>
                <w:rFonts w:cs="v4.2.0"/>
              </w:rPr>
            </w:pPr>
            <w:r>
              <w:rPr>
                <w:rFonts w:cs="v4.2.0"/>
                <w:highlight w:val="none"/>
              </w:rPr>
              <w:t xml:space="preserve">When the UL SCS is 120 kHz or smaller, the UE shall meet the Te requirement for an initial transmission provided that at least one SSB is available at the UE during the last 160 ms. </w:t>
            </w:r>
            <w:r>
              <w:rPr>
                <w:rFonts w:cs="v4.2.0"/>
              </w:rPr>
              <w:t xml:space="preserve">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w:t>
            </w:r>
          </w:p>
          <w:p w14:paraId="6D9861CA">
            <w:pPr>
              <w:spacing w:line="240" w:lineRule="auto"/>
              <w:rPr>
                <w:rFonts w:hint="eastAsia" w:eastAsia="宋体"/>
                <w:highlight w:val="none"/>
                <w:lang w:val="en-US" w:eastAsia="zh-CN"/>
              </w:rPr>
            </w:pPr>
            <w:r>
              <w:rPr>
                <w:rFonts w:cs="v4.2.0"/>
              </w:rPr>
              <w:t>The reference point for the UE initial transmit timing control requirement shall be the</w:t>
            </w:r>
            <w:r>
              <w:rPr>
                <w:rFonts w:cs="v4.2.0"/>
                <w:highlight w:val="yellow"/>
              </w:rPr>
              <w:t xml:space="preserve"> downlink timing of the reference cell</w:t>
            </w:r>
            <w:r>
              <w:rPr>
                <w:rFonts w:cs="v4.2.0"/>
              </w:rPr>
              <w:t xml:space="preserve"> minus </w:t>
            </w:r>
            <m:oMath>
              <m:d>
                <m:dPr>
                  <m:ctrlPr>
                    <w:rPr>
                      <w:rFonts w:ascii="Cambria Math" w:hAnsi="Cambria Math"/>
                      <w:i/>
                    </w:rPr>
                  </m:ctrlPr>
                </m:dPr>
                <m:e>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m:t>
                      </m:r>
                      <m:ctrlPr>
                        <w:rPr>
                          <w:rFonts w:ascii="Cambria Math" w:hAnsi="Cambria Math"/>
                        </w:rPr>
                      </m:ctrlPr>
                    </m:sub>
                  </m:sSub>
                  <m:r>
                    <m:rPr/>
                    <w:rPr>
                      <w:rFonts w:ascii="Cambria Math"/>
                    </w:rPr>
                    <m:t>+</m:t>
                  </m:r>
                  <m:sSub>
                    <m:sSubPr>
                      <m:ctrlPr>
                        <w:rPr>
                          <w:rFonts w:ascii="Cambria Math" w:hAnsi="Cambria Math"/>
                          <w:i/>
                        </w:rPr>
                      </m:ctrlPr>
                    </m:sSubPr>
                    <m:e>
                      <m:r>
                        <m:rPr/>
                        <w:rPr>
                          <w:rFonts w:ascii="Cambria Math"/>
                        </w:rPr>
                        <m:t>N</m:t>
                      </m:r>
                      <m:ctrlPr>
                        <w:rPr>
                          <w:rFonts w:ascii="Cambria Math" w:hAnsi="Cambria Math"/>
                          <w:i/>
                        </w:rPr>
                      </m:ctrlPr>
                    </m:e>
                    <m:sub>
                      <m:r>
                        <m:rPr>
                          <m:nor/>
                          <m:sty m:val="p"/>
                        </m:rPr>
                        <w:rPr>
                          <w:rFonts w:ascii="Cambria Math"/>
                          <w:b w:val="0"/>
                          <w:i w:val="0"/>
                        </w:rPr>
                        <m:t>TA offset</m:t>
                      </m:r>
                      <m:ctrlPr>
                        <w:rPr>
                          <w:rFonts w:ascii="Cambria Math" w:hAnsi="Cambria Math"/>
                        </w:rPr>
                      </m:ctrlPr>
                    </m:sub>
                  </m:sSub>
                  <m:ctrlPr>
                    <w:rPr>
                      <w:rFonts w:ascii="Cambria Math" w:hAnsi="Cambria Math"/>
                      <w:i/>
                    </w:rPr>
                  </m:ctrlPr>
                </m:e>
              </m:d>
              <m:r>
                <m:rPr/>
                <w:rPr>
                  <w:rFonts w:ascii="Cambria Math"/>
                </w:rPr>
                <m:t>×</m:t>
              </m:r>
              <m:sSub>
                <m:sSubPr>
                  <m:ctrlPr>
                    <w:rPr>
                      <w:rFonts w:ascii="Cambria Math" w:hAnsi="Cambria Math"/>
                      <w:i/>
                    </w:rPr>
                  </m:ctrlPr>
                </m:sSubPr>
                <m:e>
                  <m:r>
                    <m:rPr/>
                    <w:rPr>
                      <w:rFonts w:ascii="Cambria Math"/>
                    </w:rPr>
                    <m:t>T</m:t>
                  </m:r>
                  <m:ctrlPr>
                    <w:rPr>
                      <w:rFonts w:ascii="Cambria Math" w:hAnsi="Cambria Math"/>
                      <w:i/>
                    </w:rPr>
                  </m:ctrlPr>
                </m:e>
                <m:sub>
                  <m:r>
                    <m:rPr/>
                    <w:rPr>
                      <w:rFonts w:ascii="Cambria Math"/>
                    </w:rPr>
                    <m:t>c</m:t>
                  </m:r>
                  <m:ctrlPr>
                    <w:rPr>
                      <w:rFonts w:ascii="Cambria Math" w:hAnsi="Cambria Math"/>
                      <w:i/>
                    </w:rPr>
                  </m:ctrlPr>
                </m:sub>
              </m:sSub>
            </m:oMath>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BEAB6EA">
            <w:pPr>
              <w:widowControl w:val="0"/>
              <w:numPr>
                <w:ilvl w:val="0"/>
                <w:numId w:val="0"/>
              </w:numPr>
              <w:spacing w:line="240" w:lineRule="auto"/>
              <w:jc w:val="both"/>
              <w:rPr>
                <w:rFonts w:hint="default" w:eastAsia="宋体"/>
                <w:lang w:val="en-US" w:eastAsia="zh-CN"/>
              </w:rPr>
            </w:pPr>
            <w:r>
              <w:rPr>
                <w:rFonts w:hint="eastAsia" w:eastAsia="宋体"/>
                <w:lang w:val="en-US" w:eastAsia="zh-CN"/>
              </w:rPr>
              <w:t>...</w:t>
            </w:r>
          </w:p>
        </w:tc>
      </w:tr>
    </w:tbl>
    <w:p w14:paraId="2D3D0ECE">
      <w:pPr>
        <w:pStyle w:val="10"/>
        <w:bidi w:val="0"/>
        <w:rPr>
          <w:rFonts w:hint="eastAsia"/>
          <w:lang w:val="en-US" w:eastAsia="zh-CN"/>
        </w:rPr>
      </w:pPr>
      <w:r>
        <w:rPr>
          <w:rFonts w:hint="eastAsia"/>
          <w:lang w:val="en-US" w:eastAsia="zh-CN"/>
        </w:rPr>
        <w:t xml:space="preserve">Considering the DL carrier of PCell is always on only except the duration of switching gap, similar as legacy normal CA, no challenge for UE to receive SSF in last 160ms at the DL carrier of PCell, so reuse the existing Tx timing requirement for PCell with the same applicability condition, i.e. SSB is available in last 160ms. </w:t>
      </w:r>
    </w:p>
    <w:p w14:paraId="43DE8A13">
      <w:pPr>
        <w:pStyle w:val="10"/>
        <w:bidi w:val="0"/>
        <w:rPr>
          <w:rFonts w:hint="eastAsia"/>
          <w:u w:val="single"/>
          <w:lang w:val="en-US" w:eastAsia="zh-CN"/>
        </w:rPr>
      </w:pPr>
      <w:r>
        <w:rPr>
          <w:rFonts w:hint="eastAsia"/>
          <w:b/>
          <w:bCs/>
          <w:lang w:val="en-US" w:eastAsia="zh-CN"/>
        </w:rPr>
        <w:t xml:space="preserve">Proposal 3: Reuse the existing Tx timing requirement for PCell with the same applicability condition (SSB is available in last 160ms). </w:t>
      </w:r>
    </w:p>
    <w:p w14:paraId="7BEAD4AE">
      <w:pPr>
        <w:pStyle w:val="10"/>
        <w:numPr>
          <w:ilvl w:val="0"/>
          <w:numId w:val="0"/>
        </w:numPr>
        <w:bidi w:val="0"/>
        <w:ind w:leftChars="0"/>
        <w:rPr>
          <w:rFonts w:hint="eastAsia"/>
          <w:u w:val="single"/>
          <w:lang w:val="en-US" w:eastAsia="zh-CN"/>
        </w:rPr>
      </w:pPr>
      <w:r>
        <w:rPr>
          <w:rFonts w:hint="eastAsia"/>
          <w:u w:val="single"/>
          <w:lang w:val="en-US" w:eastAsia="zh-CN"/>
        </w:rPr>
        <w:t>Interruption during switching</w:t>
      </w:r>
    </w:p>
    <w:p w14:paraId="1176DAB9">
      <w:pPr>
        <w:pStyle w:val="10"/>
        <w:numPr>
          <w:ilvl w:val="0"/>
          <w:numId w:val="0"/>
        </w:numPr>
        <w:bidi w:val="0"/>
        <w:ind w:leftChars="0"/>
        <w:rPr>
          <w:rFonts w:hint="eastAsia"/>
          <w:lang w:val="en-US" w:eastAsia="zh-CN"/>
        </w:rPr>
      </w:pPr>
      <w:r>
        <w:rPr>
          <w:rFonts w:hint="eastAsia"/>
          <w:lang w:val="en-US" w:eastAsia="zh-CN"/>
        </w:rPr>
        <w:t xml:space="preserve">It is declared in the objectives of this WID that </w:t>
      </w:r>
      <w:r>
        <w:rPr>
          <w:rFonts w:hint="default"/>
          <w:lang w:val="en-US" w:eastAsia="zh-CN"/>
        </w:rPr>
        <w:t>“Reuse the semi-static switching mechanism based on RRC configuration defined in Rel-19 for low-band CA via switching”</w:t>
      </w:r>
      <w:r>
        <w:rPr>
          <w:rFonts w:hint="eastAsia"/>
          <w:lang w:val="en-US" w:eastAsia="zh-CN"/>
        </w:rPr>
        <w:t>, so probably the switching pattern configuration designed in R19 CA would reuse. The details are shown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14:paraId="6CE6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14:paraId="6BC61282">
            <w:pPr>
              <w:pStyle w:val="30"/>
              <w:overflowPunct/>
              <w:autoSpaceDE/>
              <w:autoSpaceDN/>
              <w:adjustRightInd/>
              <w:spacing w:after="120" w:line="240" w:lineRule="auto"/>
              <w:ind w:left="0" w:leftChars="0" w:firstLine="0" w:firstLineChars="0"/>
              <w:jc w:val="both"/>
              <w:textAlignment w:val="auto"/>
              <w:rPr>
                <w:rFonts w:hint="eastAsia"/>
                <w:b w:val="0"/>
                <w:bCs w:val="0"/>
                <w:i w:val="0"/>
                <w:iCs w:val="0"/>
                <w:vertAlign w:val="baseline"/>
              </w:rPr>
            </w:pPr>
            <w:r>
              <w:rPr>
                <w:rFonts w:hint="eastAsia"/>
                <w:b w:val="0"/>
                <w:bCs w:val="0"/>
                <w:i w:val="0"/>
                <w:iCs w:val="0"/>
                <w:vertAlign w:val="baseline"/>
              </w:rPr>
              <w:t xml:space="preserve">When the UE is provided LBCA-SwitchingPattern, the UE is provided </w:t>
            </w:r>
          </w:p>
          <w:p w14:paraId="354EDD30">
            <w:pPr>
              <w:pStyle w:val="30"/>
              <w:overflowPunct/>
              <w:autoSpaceDE/>
              <w:autoSpaceDN/>
              <w:adjustRightInd/>
              <w:spacing w:after="120" w:line="240" w:lineRule="auto"/>
              <w:ind w:left="0" w:leftChars="0" w:firstLine="0" w:firstLineChars="0"/>
              <w:jc w:val="both"/>
              <w:textAlignment w:val="auto"/>
              <w:rPr>
                <w:rFonts w:hint="default" w:eastAsia="宋体"/>
                <w:b w:val="0"/>
                <w:bCs w:val="0"/>
                <w:i w:val="0"/>
                <w:iCs w:val="0"/>
                <w:vertAlign w:val="baseline"/>
                <w:lang w:val="en-US" w:eastAsia="zh-CN"/>
              </w:rPr>
            </w:pPr>
            <w:r>
              <w:rPr>
                <w:rFonts w:hint="eastAsia"/>
                <w:b w:val="0"/>
                <w:bCs w:val="0"/>
                <w:i w:val="0"/>
                <w:iCs w:val="0"/>
                <w:vertAlign w:val="baseline"/>
              </w:rPr>
              <w:t>-</w:t>
            </w:r>
            <w:r>
              <w:rPr>
                <w:rFonts w:hint="eastAsia"/>
                <w:b w:val="0"/>
                <w:bCs w:val="0"/>
                <w:i w:val="0"/>
                <w:iCs w:val="0"/>
                <w:vertAlign w:val="baseline"/>
              </w:rPr>
              <w:tab/>
            </w:r>
            <w:r>
              <w:rPr>
                <w:rFonts w:hint="eastAsia"/>
                <w:b w:val="0"/>
                <w:bCs w:val="0"/>
                <w:i w:val="0"/>
                <w:iCs w:val="0"/>
                <w:vertAlign w:val="baseline"/>
              </w:rPr>
              <w:t xml:space="preserve">a first duration, by </w:t>
            </w:r>
            <w:r>
              <w:rPr>
                <w:rFonts w:hint="eastAsia"/>
                <w:b w:val="0"/>
                <w:bCs w:val="0"/>
                <w:i/>
                <w:iCs/>
                <w:vertAlign w:val="baseline"/>
              </w:rPr>
              <w:t>LBCA-SwitchingGap-Duration-PCelltoSCell</w:t>
            </w:r>
            <w:r>
              <w:rPr>
                <w:rFonts w:hint="eastAsia"/>
                <w:b w:val="0"/>
                <w:bCs w:val="0"/>
                <w:i w:val="0"/>
                <w:iCs w:val="0"/>
                <w:vertAlign w:val="baseline"/>
              </w:rPr>
              <w:t>, ending at the end of the last slot from a number of consecutive slots with bit value ‘0’, for the UE to switch operation from the PCell to the SCell over the first duration, and</w:t>
            </w:r>
          </w:p>
          <w:p w14:paraId="04E824D0">
            <w:pPr>
              <w:pStyle w:val="10"/>
              <w:numPr>
                <w:ilvl w:val="0"/>
                <w:numId w:val="0"/>
              </w:numPr>
              <w:bidi w:val="0"/>
              <w:rPr>
                <w:rFonts w:hint="default"/>
                <w:vertAlign w:val="baseline"/>
                <w:lang w:val="en-US" w:eastAsia="zh-CN"/>
              </w:rPr>
            </w:pPr>
            <w:r>
              <w:rPr>
                <w:rFonts w:hint="eastAsia"/>
                <w:b w:val="0"/>
                <w:bCs w:val="0"/>
                <w:i w:val="0"/>
                <w:iCs w:val="0"/>
                <w:vertAlign w:val="baseline"/>
              </w:rPr>
              <w:t>-</w:t>
            </w:r>
            <w:r>
              <w:rPr>
                <w:rFonts w:hint="eastAsia"/>
                <w:b w:val="0"/>
                <w:bCs w:val="0"/>
                <w:i w:val="0"/>
                <w:iCs w:val="0"/>
                <w:vertAlign w:val="baseline"/>
              </w:rPr>
              <w:tab/>
            </w:r>
            <w:r>
              <w:rPr>
                <w:rFonts w:hint="eastAsia"/>
                <w:b w:val="0"/>
                <w:bCs w:val="0"/>
                <w:i w:val="0"/>
                <w:iCs w:val="0"/>
                <w:vertAlign w:val="baseline"/>
              </w:rPr>
              <w:t xml:space="preserve">a second duration, by </w:t>
            </w:r>
            <w:r>
              <w:rPr>
                <w:rFonts w:hint="eastAsia"/>
                <w:b w:val="0"/>
                <w:bCs w:val="0"/>
                <w:i/>
                <w:iCs/>
                <w:vertAlign w:val="baseline"/>
              </w:rPr>
              <w:t>LBCA-SwitchingGap-SCelltoPCell</w:t>
            </w:r>
            <w:r>
              <w:rPr>
                <w:rFonts w:hint="eastAsia"/>
                <w:b w:val="0"/>
                <w:bCs w:val="0"/>
                <w:i w:val="0"/>
                <w:iCs w:val="0"/>
                <w:vertAlign w:val="baseline"/>
              </w:rPr>
              <w:t>, ending at the end of the last slot from a number of consecutive slots with bit value ‘1’, for the UE to switch operation from the SCell to the PCell over the second duration</w:t>
            </w:r>
            <w:r>
              <w:rPr>
                <w:rFonts w:hint="eastAsia"/>
                <w:b w:val="0"/>
                <w:bCs w:val="0"/>
                <w:i w:val="0"/>
                <w:iCs w:val="0"/>
                <w:vertAlign w:val="baseline"/>
                <w:lang w:val="en-US" w:eastAsia="zh-CN"/>
              </w:rPr>
              <w:t xml:space="preserve"> </w:t>
            </w:r>
          </w:p>
        </w:tc>
      </w:tr>
    </w:tbl>
    <w:p w14:paraId="6566F5BA">
      <w:pPr>
        <w:pStyle w:val="10"/>
        <w:numPr>
          <w:ilvl w:val="0"/>
          <w:numId w:val="0"/>
        </w:numPr>
        <w:bidi w:val="0"/>
        <w:ind w:leftChars="0"/>
        <w:rPr>
          <w:rFonts w:hint="eastAsia"/>
          <w:lang w:val="en-US" w:eastAsia="zh-CN"/>
        </w:rPr>
      </w:pPr>
      <w:r>
        <w:rPr>
          <w:rFonts w:hint="eastAsia"/>
          <w:lang w:val="en-US" w:eastAsia="zh-CN"/>
        </w:rPr>
        <w:t xml:space="preserve">The signalings including </w:t>
      </w:r>
      <w:r>
        <w:rPr>
          <w:rFonts w:hint="eastAsia"/>
          <w:b w:val="0"/>
          <w:bCs w:val="0"/>
          <w:i/>
          <w:iCs/>
          <w:vertAlign w:val="baseline"/>
        </w:rPr>
        <w:t>LBCA-SwitchingGap-Duration-PCelltoSCell</w:t>
      </w:r>
      <w:r>
        <w:rPr>
          <w:rFonts w:hint="eastAsia" w:eastAsia="宋体"/>
          <w:b w:val="0"/>
          <w:bCs w:val="0"/>
          <w:i/>
          <w:iCs/>
          <w:vertAlign w:val="baseline"/>
          <w:lang w:val="en-US" w:eastAsia="zh-CN"/>
        </w:rPr>
        <w:t xml:space="preserve"> </w:t>
      </w:r>
      <w:r>
        <w:rPr>
          <w:rFonts w:hint="eastAsia"/>
          <w:lang w:val="en-US" w:eastAsia="zh-CN"/>
        </w:rPr>
        <w:t xml:space="preserve">and </w:t>
      </w:r>
      <w:r>
        <w:rPr>
          <w:rFonts w:hint="eastAsia"/>
          <w:b w:val="0"/>
          <w:bCs w:val="0"/>
          <w:i/>
          <w:iCs/>
          <w:vertAlign w:val="baseline"/>
        </w:rPr>
        <w:t>LBCA-SwitchingGap-SCelltoPCell</w:t>
      </w:r>
      <w:r>
        <w:rPr>
          <w:rFonts w:hint="eastAsia" w:eastAsia="宋体"/>
          <w:b w:val="0"/>
          <w:bCs w:val="0"/>
          <w:i/>
          <w:iCs/>
          <w:vertAlign w:val="baseline"/>
          <w:lang w:val="en-US" w:eastAsia="zh-CN"/>
        </w:rPr>
        <w:t xml:space="preserve"> </w:t>
      </w:r>
      <w:r>
        <w:rPr>
          <w:rFonts w:hint="eastAsia"/>
          <w:lang w:val="en-US" w:eastAsia="zh-CN"/>
        </w:rPr>
        <w:t>aim to configure the switching gap between PCell and SCell in R19 low band CA via switching. Considering the switching gap has already be reflected by such signaling configuration, no need to define any interruption requirements for the switching between PCell and SCell. For the switching in R20, if similar RRC configuration applied, similar as R19, no need to define interruption or scheduling restriction requirements caused by the switching between PCell and SCell.</w:t>
      </w:r>
    </w:p>
    <w:p w14:paraId="38398440">
      <w:pPr>
        <w:pStyle w:val="10"/>
        <w:bidi w:val="0"/>
        <w:rPr>
          <w:rFonts w:hint="default"/>
          <w:lang w:val="en-US" w:eastAsia="zh-CN"/>
        </w:rPr>
      </w:pPr>
      <w:r>
        <w:rPr>
          <w:rFonts w:hint="eastAsia"/>
          <w:b/>
          <w:bCs/>
          <w:lang w:val="en-US" w:eastAsia="zh-CN"/>
        </w:rPr>
        <w:t xml:space="preserve">Proposal 4: No need to define interruption or scheduling restriction requirements for the switching between PCell and SCell as long as the similar switching pattern configuration design of R19 CA reused. </w:t>
      </w:r>
    </w:p>
    <w:p w14:paraId="4E0C770B">
      <w:pPr>
        <w:pStyle w:val="10"/>
        <w:numPr>
          <w:ilvl w:val="0"/>
          <w:numId w:val="0"/>
        </w:numPr>
        <w:bidi w:val="0"/>
        <w:ind w:leftChars="0"/>
        <w:rPr>
          <w:rFonts w:hint="eastAsia"/>
          <w:u w:val="single"/>
          <w:lang w:val="en-US" w:eastAsia="zh-CN"/>
        </w:rPr>
      </w:pPr>
      <w:r>
        <w:rPr>
          <w:rFonts w:hint="eastAsia"/>
          <w:u w:val="single"/>
          <w:lang w:val="en-US" w:eastAsia="zh-CN"/>
        </w:rPr>
        <w:t>Measurement on SCell</w:t>
      </w:r>
    </w:p>
    <w:p w14:paraId="388B2EFC">
      <w:pPr>
        <w:pStyle w:val="10"/>
        <w:numPr>
          <w:ilvl w:val="0"/>
          <w:numId w:val="0"/>
        </w:numPr>
        <w:bidi w:val="0"/>
        <w:ind w:leftChars="0"/>
        <w:rPr>
          <w:rFonts w:hint="eastAsia"/>
          <w:lang w:val="en-US" w:eastAsia="zh-CN"/>
        </w:rPr>
      </w:pPr>
      <w:r>
        <w:rPr>
          <w:rFonts w:hint="eastAsia"/>
          <w:lang w:val="en-US" w:eastAsia="zh-CN"/>
        </w:rPr>
        <w:t>For the measurements on SCell, as shown in Figure 1 and Figure 2, it seems no difference observed for SCell. Therefore, in general the requirements defined in R19 could be reused as much as possible, including the deactivated SCell measurement, the SCell activation procedure and the active SCell measurement.</w:t>
      </w:r>
    </w:p>
    <w:p w14:paraId="6ED35CB8">
      <w:pPr>
        <w:pStyle w:val="10"/>
        <w:bidi w:val="0"/>
        <w:rPr>
          <w:rFonts w:hint="default"/>
          <w:lang w:val="en-US" w:eastAsia="zh-CN"/>
        </w:rPr>
      </w:pPr>
      <w:r>
        <w:rPr>
          <w:rFonts w:hint="eastAsia"/>
          <w:b/>
          <w:bCs/>
          <w:lang w:val="en-US" w:eastAsia="zh-CN"/>
        </w:rPr>
        <w:t xml:space="preserve">Proposal 5: In general, reuse the requirements defined in R19 for SCell measurement as much as possible, including the deactivated SCell measurement, the SCell activation procedure and the active SCell measurement. </w:t>
      </w:r>
    </w:p>
    <w:p w14:paraId="607EF160">
      <w:pPr>
        <w:pStyle w:val="10"/>
        <w:numPr>
          <w:ilvl w:val="0"/>
          <w:numId w:val="0"/>
        </w:numPr>
        <w:bidi w:val="0"/>
        <w:ind w:leftChars="0"/>
        <w:rPr>
          <w:rFonts w:hint="default"/>
          <w:u w:val="single"/>
          <w:lang w:val="en-US" w:eastAsia="zh-CN"/>
        </w:rPr>
      </w:pPr>
      <w:r>
        <w:rPr>
          <w:rFonts w:hint="eastAsia"/>
          <w:u w:val="single"/>
          <w:lang w:val="en-US" w:eastAsia="zh-CN"/>
        </w:rPr>
        <w:t>Measurement on PCell</w:t>
      </w:r>
    </w:p>
    <w:p w14:paraId="2A5DA5AB">
      <w:pPr>
        <w:pStyle w:val="10"/>
        <w:bidi w:val="0"/>
        <w:rPr>
          <w:rFonts w:hint="default"/>
          <w:lang w:val="en-US" w:eastAsia="zh-CN"/>
        </w:rPr>
      </w:pPr>
      <w:r>
        <w:rPr>
          <w:rFonts w:hint="eastAsia"/>
          <w:lang w:val="en-US" w:eastAsia="zh-CN"/>
        </w:rPr>
        <w:t>For the measurements on PCell, the impact caused by the switching pattern is less than that in R19 as the PCell DL is also applicable in the duration of SCell ON. In other word, the only unavailable duration for PCell measurement is the duration of switching gap as shown in Figure 1. So the framework of requirements defined in R19 could be reused with less unavailable duration.</w:t>
      </w:r>
    </w:p>
    <w:p w14:paraId="7A79FCFD">
      <w:pPr>
        <w:pStyle w:val="10"/>
        <w:bidi w:val="0"/>
        <w:rPr>
          <w:rFonts w:hint="default"/>
          <w:lang w:val="en-US" w:eastAsia="zh-CN"/>
        </w:rPr>
      </w:pPr>
      <w:r>
        <w:rPr>
          <w:rFonts w:hint="eastAsia"/>
          <w:b/>
          <w:bCs/>
          <w:lang w:val="en-US" w:eastAsia="zh-CN"/>
        </w:rPr>
        <w:t xml:space="preserve">Proposal 6: The framework of the requirements defined for PCell measurement in R19 could be reused with less unavailable duration as dual Rx on PCell and SCell is allowed. </w:t>
      </w:r>
    </w:p>
    <w:p w14:paraId="48DC1BD7">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14:paraId="790EE471">
      <w:pPr>
        <w:pStyle w:val="10"/>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14:paraId="30A03707">
      <w:pPr>
        <w:pStyle w:val="10"/>
        <w:bidi w:val="0"/>
        <w:rPr>
          <w:rFonts w:hint="eastAsia"/>
          <w:b/>
          <w:bCs/>
          <w:lang w:val="en-US" w:eastAsia="zh-CN"/>
        </w:rPr>
      </w:pPr>
      <w:r>
        <w:rPr>
          <w:rFonts w:hint="eastAsia"/>
          <w:b/>
          <w:bCs/>
          <w:lang w:val="en-US" w:eastAsia="zh-CN"/>
        </w:rPr>
        <w:t>Proposal 1: Take the RRM requirements specified in R19 low band CA as a starting point, and further adapt to the change between R19 switching and R20 switching.</w:t>
      </w:r>
    </w:p>
    <w:p w14:paraId="1AD21D4C">
      <w:pPr>
        <w:pStyle w:val="10"/>
        <w:numPr>
          <w:ilvl w:val="0"/>
          <w:numId w:val="0"/>
        </w:numPr>
        <w:bidi w:val="0"/>
        <w:ind w:leftChars="0"/>
        <w:rPr>
          <w:rFonts w:hint="default"/>
          <w:b/>
          <w:bCs/>
          <w:lang w:val="en-US" w:eastAsia="zh-CN"/>
        </w:rPr>
      </w:pPr>
      <w:r>
        <w:rPr>
          <w:rFonts w:hint="eastAsia"/>
          <w:u w:val="single"/>
          <w:lang w:val="en-US" w:eastAsia="zh-CN"/>
        </w:rPr>
        <w:t>RTD between the two low bands</w:t>
      </w:r>
    </w:p>
    <w:p w14:paraId="56445CFF">
      <w:pPr>
        <w:pStyle w:val="10"/>
        <w:bidi w:val="0"/>
        <w:rPr>
          <w:rFonts w:hint="eastAsia"/>
          <w:b/>
          <w:bCs/>
          <w:lang w:val="en-US" w:eastAsia="zh-CN"/>
        </w:rPr>
      </w:pPr>
      <w:r>
        <w:rPr>
          <w:rFonts w:hint="eastAsia"/>
          <w:b/>
          <w:bCs/>
          <w:lang w:val="en-US" w:eastAsia="zh-CN"/>
        </w:rPr>
        <w:t>Proposal 2: Reuse the MRTD requirement specified in R19 low band CA via switching.</w:t>
      </w:r>
    </w:p>
    <w:p w14:paraId="0FFE5026">
      <w:pPr>
        <w:pStyle w:val="10"/>
        <w:numPr>
          <w:ilvl w:val="0"/>
          <w:numId w:val="0"/>
        </w:numPr>
        <w:bidi w:val="0"/>
        <w:ind w:leftChars="0"/>
        <w:rPr>
          <w:rFonts w:hint="default"/>
          <w:b/>
          <w:bCs/>
          <w:lang w:val="en-US" w:eastAsia="zh-CN"/>
        </w:rPr>
      </w:pPr>
      <w:r>
        <w:rPr>
          <w:rFonts w:hint="eastAsia"/>
          <w:u w:val="single"/>
          <w:lang w:val="en-US" w:eastAsia="zh-CN"/>
        </w:rPr>
        <w:t>Timing between the two low bands</w:t>
      </w:r>
    </w:p>
    <w:p w14:paraId="653AA585">
      <w:pPr>
        <w:pStyle w:val="10"/>
        <w:bidi w:val="0"/>
        <w:rPr>
          <w:rFonts w:hint="eastAsia"/>
          <w:b/>
          <w:bCs/>
          <w:lang w:val="en-US" w:eastAsia="zh-CN"/>
        </w:rPr>
      </w:pPr>
      <w:r>
        <w:rPr>
          <w:rFonts w:hint="eastAsia"/>
          <w:b/>
          <w:bCs/>
          <w:lang w:val="en-US" w:eastAsia="zh-CN"/>
        </w:rPr>
        <w:t xml:space="preserve">Proposal 3: Reuse the existing Tx timing requirement for PCell with the same applicability condition (SSB is available in last 160ms). </w:t>
      </w:r>
    </w:p>
    <w:p w14:paraId="5112AE96">
      <w:pPr>
        <w:pStyle w:val="10"/>
        <w:numPr>
          <w:ilvl w:val="0"/>
          <w:numId w:val="0"/>
        </w:numPr>
        <w:bidi w:val="0"/>
        <w:ind w:leftChars="0"/>
        <w:rPr>
          <w:rFonts w:hint="eastAsia"/>
          <w:b/>
          <w:bCs/>
          <w:lang w:val="en-US" w:eastAsia="zh-CN"/>
        </w:rPr>
      </w:pPr>
      <w:r>
        <w:rPr>
          <w:rFonts w:hint="eastAsia"/>
          <w:u w:val="single"/>
          <w:lang w:val="en-US" w:eastAsia="zh-CN"/>
        </w:rPr>
        <w:t>Interruption during switching</w:t>
      </w:r>
    </w:p>
    <w:p w14:paraId="34FAC7C5">
      <w:pPr>
        <w:pStyle w:val="10"/>
        <w:bidi w:val="0"/>
        <w:rPr>
          <w:rFonts w:hint="eastAsia"/>
          <w:b/>
          <w:bCs/>
          <w:lang w:val="en-US" w:eastAsia="zh-CN"/>
        </w:rPr>
      </w:pPr>
      <w:r>
        <w:rPr>
          <w:rFonts w:hint="eastAsia"/>
          <w:b/>
          <w:bCs/>
          <w:lang w:val="en-US" w:eastAsia="zh-CN"/>
        </w:rPr>
        <w:t xml:space="preserve">Proposal 4: No need to define interruption or scheduling restriction requirements for the switching between PCell and SCell as long as the similar switching pattern configuration design of R19 CA reused. </w:t>
      </w:r>
    </w:p>
    <w:p w14:paraId="463A60A1">
      <w:pPr>
        <w:pStyle w:val="10"/>
        <w:numPr>
          <w:ilvl w:val="0"/>
          <w:numId w:val="0"/>
        </w:numPr>
        <w:bidi w:val="0"/>
        <w:ind w:leftChars="0"/>
        <w:rPr>
          <w:rFonts w:hint="default"/>
          <w:b/>
          <w:bCs/>
          <w:lang w:val="en-US" w:eastAsia="zh-CN"/>
        </w:rPr>
      </w:pPr>
      <w:r>
        <w:rPr>
          <w:rFonts w:hint="eastAsia"/>
          <w:u w:val="single"/>
          <w:lang w:val="en-US" w:eastAsia="zh-CN"/>
        </w:rPr>
        <w:t>Measurement on SCell</w:t>
      </w:r>
    </w:p>
    <w:p w14:paraId="1CBC7022">
      <w:pPr>
        <w:pStyle w:val="10"/>
        <w:bidi w:val="0"/>
        <w:rPr>
          <w:rFonts w:hint="eastAsia"/>
          <w:b/>
          <w:bCs/>
          <w:lang w:val="en-US" w:eastAsia="zh-CN"/>
        </w:rPr>
      </w:pPr>
      <w:r>
        <w:rPr>
          <w:rFonts w:hint="eastAsia"/>
          <w:b/>
          <w:bCs/>
          <w:lang w:val="en-US" w:eastAsia="zh-CN"/>
        </w:rPr>
        <w:t xml:space="preserve">Proposal 5: In general, reuse the requirements defined in R19 for SCell measurement as much as possible, including the deactivated SCell measurement, the SCell activation procedure and the active SCell measurement. </w:t>
      </w:r>
    </w:p>
    <w:p w14:paraId="40F61F08">
      <w:pPr>
        <w:pStyle w:val="10"/>
        <w:numPr>
          <w:ilvl w:val="0"/>
          <w:numId w:val="0"/>
        </w:numPr>
        <w:bidi w:val="0"/>
        <w:ind w:leftChars="0"/>
        <w:rPr>
          <w:rFonts w:hint="default"/>
          <w:b/>
          <w:bCs/>
          <w:lang w:val="en-US" w:eastAsia="zh-CN"/>
        </w:rPr>
      </w:pPr>
      <w:r>
        <w:rPr>
          <w:rFonts w:hint="eastAsia"/>
          <w:u w:val="single"/>
          <w:lang w:val="en-US" w:eastAsia="zh-CN"/>
        </w:rPr>
        <w:t>Measurement on PCell</w:t>
      </w:r>
    </w:p>
    <w:p w14:paraId="273A9FAB">
      <w:pPr>
        <w:pStyle w:val="10"/>
        <w:bidi w:val="0"/>
        <w:rPr>
          <w:rFonts w:hint="eastAsia" w:eastAsia="宋体"/>
          <w:bCs/>
          <w:color w:val="auto"/>
          <w:sz w:val="20"/>
          <w:szCs w:val="20"/>
          <w:lang w:val="en-US" w:eastAsia="zh-CN"/>
        </w:rPr>
      </w:pPr>
      <w:r>
        <w:rPr>
          <w:rFonts w:hint="eastAsia"/>
          <w:b/>
          <w:bCs/>
          <w:lang w:val="en-US" w:eastAsia="zh-CN"/>
        </w:rPr>
        <w:t xml:space="preserve">Proposal 6: The framework of the requirements defined for PCell measurement in R19 could be reused with less unavailable duration as dual Rx on PCell and SCell is allowed. </w:t>
      </w:r>
    </w:p>
    <w:p w14:paraId="26EDC0CD">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14:paraId="69D257C3">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RP-252953, New WID on enhancement of low NR band carrier aggregation via switching, Apple, AT&amp;T, Anterix, Bell Mobility, BT plc, CATT, </w:t>
      </w:r>
      <w:r>
        <w:rPr>
          <w:rFonts w:hint="eastAsia"/>
          <w:lang w:eastAsia="zh-CN"/>
        </w:rPr>
        <w:t>China Telecom</w:t>
      </w:r>
      <w:r>
        <w:rPr>
          <w:rFonts w:hint="eastAsia"/>
          <w:lang w:val="en-US" w:eastAsia="zh-CN"/>
        </w:rPr>
        <w:t xml:space="preserve">, </w:t>
      </w:r>
      <w:r>
        <w:rPr>
          <w:rFonts w:hint="eastAsia"/>
          <w:color w:val="auto"/>
          <w:sz w:val="20"/>
          <w:szCs w:val="20"/>
          <w:highlight w:val="none"/>
          <w:lang w:val="en-US" w:eastAsia="zh-CN"/>
        </w:rPr>
        <w:t xml:space="preserve">Ericsson, HiSilicon, Huawei, Intel Corporation, LGE, </w:t>
      </w:r>
      <w:r>
        <w:t>MediaTek</w:t>
      </w:r>
      <w:r>
        <w:rPr>
          <w:rFonts w:hint="eastAsia"/>
          <w:lang w:val="en-US" w:eastAsia="zh-CN"/>
        </w:rPr>
        <w:t xml:space="preserve">, </w:t>
      </w:r>
      <w:r>
        <w:rPr>
          <w:rFonts w:hint="eastAsia"/>
          <w:color w:val="auto"/>
          <w:sz w:val="20"/>
          <w:szCs w:val="20"/>
          <w:highlight w:val="none"/>
          <w:lang w:val="en-US" w:eastAsia="zh-CN"/>
        </w:rPr>
        <w:t xml:space="preserve">Murata, Nokia, </w:t>
      </w:r>
      <w:r>
        <w:rPr>
          <w:rFonts w:hint="eastAsia"/>
          <w:lang w:eastAsia="zh-CN"/>
        </w:rPr>
        <w:t>Ofinno</w:t>
      </w:r>
      <w:r>
        <w:rPr>
          <w:rFonts w:hint="eastAsia"/>
          <w:lang w:val="en-US" w:eastAsia="zh-CN"/>
        </w:rPr>
        <w:t xml:space="preserve">, </w:t>
      </w:r>
      <w:r>
        <w:rPr>
          <w:rFonts w:hint="eastAsia"/>
          <w:color w:val="auto"/>
          <w:sz w:val="20"/>
          <w:szCs w:val="20"/>
          <w:highlight w:val="none"/>
          <w:lang w:val="en-US" w:eastAsia="zh-CN"/>
        </w:rPr>
        <w:t xml:space="preserve">OPPO, Qualcomm, Samsung, </w:t>
      </w:r>
      <w:r>
        <w:rPr>
          <w:lang w:eastAsia="zh-CN"/>
        </w:rPr>
        <w:t>Spreadtrum</w:t>
      </w:r>
      <w:r>
        <w:rPr>
          <w:rFonts w:hint="eastAsia"/>
          <w:lang w:val="en-US" w:eastAsia="zh-CN"/>
        </w:rPr>
        <w:t xml:space="preserve">, </w:t>
      </w:r>
      <w:r>
        <w:rPr>
          <w:rFonts w:hint="eastAsia"/>
          <w:color w:val="auto"/>
          <w:sz w:val="20"/>
          <w:szCs w:val="20"/>
          <w:highlight w:val="none"/>
          <w:lang w:val="en-US" w:eastAsia="zh-CN"/>
        </w:rPr>
        <w:t xml:space="preserve">Skyworks Solutions Inc., TELUS, </w:t>
      </w:r>
      <w:r>
        <w:t>UNISOC</w:t>
      </w:r>
      <w:r>
        <w:rPr>
          <w:rFonts w:hint="eastAsia"/>
          <w:lang w:val="en-US" w:eastAsia="zh-CN"/>
        </w:rPr>
        <w:t>, vivo, Xiaomi, ZTE</w:t>
      </w:r>
      <w:r>
        <w:rPr>
          <w:rFonts w:hint="eastAsia"/>
          <w:color w:val="auto"/>
          <w:sz w:val="20"/>
          <w:szCs w:val="20"/>
          <w:highlight w:val="none"/>
          <w:lang w:val="en-US" w:eastAsia="zh-CN"/>
        </w:rPr>
        <w:t xml:space="preserve">   </w:t>
      </w:r>
    </w:p>
    <w:p w14:paraId="3BAABD25">
      <w:pPr>
        <w:pStyle w:val="11"/>
        <w:numPr>
          <w:ilvl w:val="0"/>
          <w:numId w:val="6"/>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RP-242532, Motivation for a new work item on low band carrier aggregation via switching in Rel-19, AT&amp;T, Anterix, Apple, Bell Mobility, Boost Mobile Network, BT plc, Ericsson, Google, Huawei, Murata, Nokia, OPPO, Qorvo, Qualcomm, Skyworks Solutions Inc., Sony, Southern Linc, TELUS, vivo, ZTE</w:t>
      </w:r>
    </w:p>
    <w:p w14:paraId="7142EB42">
      <w:pPr>
        <w:pStyle w:val="11"/>
        <w:numPr>
          <w:ilvl w:val="0"/>
          <w:numId w:val="0"/>
        </w:numPr>
        <w:ind w:leftChars="0"/>
        <w:rPr>
          <w:rFonts w:hint="eastAsia"/>
          <w:color w:val="auto"/>
          <w:sz w:val="20"/>
          <w:szCs w:val="20"/>
          <w:highlight w:val="none"/>
          <w:lang w:val="en-US" w:eastAsia="zh-CN"/>
        </w:rPr>
      </w:pPr>
    </w:p>
    <w:p w14:paraId="5A9CF9FD">
      <w:pPr>
        <w:pStyle w:val="11"/>
        <w:numPr>
          <w:ilvl w:val="0"/>
          <w:numId w:val="0"/>
        </w:numPr>
        <w:ind w:leftChars="0"/>
        <w:rPr>
          <w:rFonts w:hint="eastAsia"/>
          <w:color w:val="auto"/>
          <w:sz w:val="20"/>
          <w:szCs w:val="20"/>
          <w:highlight w:val="none"/>
          <w:lang w:val="en-US" w:eastAsia="zh-CN"/>
        </w:rPr>
      </w:pPr>
    </w:p>
    <w:p w14:paraId="4E2544B1">
      <w:pPr>
        <w:pStyle w:val="11"/>
        <w:numPr>
          <w:ilvl w:val="0"/>
          <w:numId w:val="0"/>
        </w:numPr>
        <w:ind w:leftChars="0"/>
        <w:rPr>
          <w:rFonts w:hint="eastAsia"/>
          <w:color w:val="auto"/>
          <w:sz w:val="20"/>
          <w:szCs w:val="20"/>
          <w:highlight w:val="none"/>
          <w:lang w:val="en-US" w:eastAsia="zh-CN"/>
        </w:rPr>
      </w:pPr>
    </w:p>
    <w:p w14:paraId="5D9D1D1A">
      <w:pPr>
        <w:pStyle w:val="11"/>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20B0604020202020204"/>
    <w:charset w:val="00"/>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47604">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4FDA6D"/>
    <w:multiLevelType w:val="singleLevel"/>
    <w:tmpl w:val="DC4FDA6D"/>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BDF65F6"/>
    <w:multiLevelType w:val="multilevel"/>
    <w:tmpl w:val="4BDF65F6"/>
    <w:lvl w:ilvl="0" w:tentative="0">
      <w:start w:val="1"/>
      <w:numFmt w:val="decimal"/>
      <w:pStyle w:val="66"/>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783985"/>
    <w:multiLevelType w:val="multilevel"/>
    <w:tmpl w:val="4D783985"/>
    <w:lvl w:ilvl="0" w:tentative="0">
      <w:start w:val="1"/>
      <w:numFmt w:val="bullet"/>
      <w:lvlText w:val=""/>
      <w:lvlJc w:val="left"/>
      <w:pPr>
        <w:ind w:left="440" w:hanging="440"/>
      </w:pPr>
      <w:rPr>
        <w:rFonts w:hint="default" w:ascii="Wingdings" w:hAnsi="Wingdings"/>
      </w:rPr>
    </w:lvl>
    <w:lvl w:ilvl="1" w:tentative="0">
      <w:start w:val="1"/>
      <w:numFmt w:val="bullet"/>
      <w:lvlText w:val="o"/>
      <w:lvlJc w:val="left"/>
      <w:pPr>
        <w:ind w:left="440" w:hanging="440"/>
      </w:pPr>
      <w:rPr>
        <w:rFonts w:hint="default" w:ascii="Courier New" w:hAnsi="Courier New" w:cs="Courier New"/>
      </w:rPr>
    </w:lvl>
    <w:lvl w:ilvl="2" w:tentative="0">
      <w:start w:val="7"/>
      <w:numFmt w:val="bullet"/>
      <w:lvlText w:val="•"/>
      <w:lvlJc w:val="left"/>
      <w:pPr>
        <w:ind w:left="1320" w:hanging="440"/>
      </w:pPr>
      <w:rPr>
        <w:rFonts w:hint="default" w:ascii="Calibri" w:hAnsi="Calibri" w:cs="Calibri" w:eastAsiaTheme="minorHAnsi"/>
      </w:rPr>
    </w:lvl>
    <w:lvl w:ilvl="3" w:tentative="0">
      <w:start w:val="1"/>
      <w:numFmt w:val="bullet"/>
      <w:lvlText w:val="−"/>
      <w:lvlJc w:val="left"/>
      <w:pPr>
        <w:ind w:left="1760" w:hanging="440"/>
      </w:pPr>
      <w:rPr>
        <w:rFonts w:hint="default" w:ascii="Arial" w:hAnsi="Arial" w:cs="Arial"/>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2"/>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35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0F0E14"/>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A605E"/>
    <w:rsid w:val="035B40C3"/>
    <w:rsid w:val="037709BE"/>
    <w:rsid w:val="037D0CB3"/>
    <w:rsid w:val="0396118A"/>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13441"/>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12D96"/>
    <w:rsid w:val="07F37416"/>
    <w:rsid w:val="080A3AE6"/>
    <w:rsid w:val="080F6EA0"/>
    <w:rsid w:val="083C577C"/>
    <w:rsid w:val="08494E41"/>
    <w:rsid w:val="084E41E6"/>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8E3333"/>
    <w:rsid w:val="0A992429"/>
    <w:rsid w:val="0AAC36DF"/>
    <w:rsid w:val="0AD017A1"/>
    <w:rsid w:val="0AE47427"/>
    <w:rsid w:val="0AEB4F7E"/>
    <w:rsid w:val="0AF922DB"/>
    <w:rsid w:val="0B0362DC"/>
    <w:rsid w:val="0B12013A"/>
    <w:rsid w:val="0B1E364C"/>
    <w:rsid w:val="0B2D2436"/>
    <w:rsid w:val="0B3A59CA"/>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503200"/>
    <w:rsid w:val="0E6B7D9D"/>
    <w:rsid w:val="0E787DDC"/>
    <w:rsid w:val="0E7E6ECB"/>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D86281"/>
    <w:rsid w:val="14E13BC1"/>
    <w:rsid w:val="14EC3C3A"/>
    <w:rsid w:val="14EE5313"/>
    <w:rsid w:val="14FA2A13"/>
    <w:rsid w:val="153A0A1D"/>
    <w:rsid w:val="153A6EF0"/>
    <w:rsid w:val="1540202C"/>
    <w:rsid w:val="155456B8"/>
    <w:rsid w:val="15560C75"/>
    <w:rsid w:val="155B63E3"/>
    <w:rsid w:val="15647C42"/>
    <w:rsid w:val="156521B8"/>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6E37CD"/>
    <w:rsid w:val="177A53BF"/>
    <w:rsid w:val="178022B2"/>
    <w:rsid w:val="178131D1"/>
    <w:rsid w:val="179862E6"/>
    <w:rsid w:val="179941B3"/>
    <w:rsid w:val="179A7349"/>
    <w:rsid w:val="17A4777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8C5E14"/>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86964"/>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AF6DF3"/>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756F70"/>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04E5C"/>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97C97"/>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9C1933"/>
    <w:rsid w:val="25B04653"/>
    <w:rsid w:val="25BB4F4D"/>
    <w:rsid w:val="25C149BB"/>
    <w:rsid w:val="25C679DB"/>
    <w:rsid w:val="25DF6DC9"/>
    <w:rsid w:val="25EE4445"/>
    <w:rsid w:val="25EE4B76"/>
    <w:rsid w:val="2605683C"/>
    <w:rsid w:val="260971F7"/>
    <w:rsid w:val="26213C17"/>
    <w:rsid w:val="26233B26"/>
    <w:rsid w:val="2633160E"/>
    <w:rsid w:val="26473960"/>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635922"/>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EFE2733"/>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A919D0"/>
    <w:rsid w:val="2FB7446E"/>
    <w:rsid w:val="2FC1649F"/>
    <w:rsid w:val="2FFE4655"/>
    <w:rsid w:val="2FFF0FC6"/>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65147E"/>
    <w:rsid w:val="31927D00"/>
    <w:rsid w:val="319708F2"/>
    <w:rsid w:val="31B14C9E"/>
    <w:rsid w:val="31C44C64"/>
    <w:rsid w:val="31D75BEC"/>
    <w:rsid w:val="31EF09FD"/>
    <w:rsid w:val="31EF4BCB"/>
    <w:rsid w:val="31F34E0D"/>
    <w:rsid w:val="320346CB"/>
    <w:rsid w:val="32282F84"/>
    <w:rsid w:val="3230175C"/>
    <w:rsid w:val="32474D62"/>
    <w:rsid w:val="32495BBC"/>
    <w:rsid w:val="324E54ED"/>
    <w:rsid w:val="325512F0"/>
    <w:rsid w:val="32661BCC"/>
    <w:rsid w:val="32713486"/>
    <w:rsid w:val="3278056E"/>
    <w:rsid w:val="327B6B95"/>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C86246"/>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D73B1B"/>
    <w:rsid w:val="38F95C2E"/>
    <w:rsid w:val="38FD559B"/>
    <w:rsid w:val="39003390"/>
    <w:rsid w:val="390F72CD"/>
    <w:rsid w:val="392A3614"/>
    <w:rsid w:val="3941547E"/>
    <w:rsid w:val="394419EF"/>
    <w:rsid w:val="39475996"/>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357324"/>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8C5ABC"/>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4B38C2"/>
    <w:rsid w:val="3E5323C8"/>
    <w:rsid w:val="3E5C0E54"/>
    <w:rsid w:val="3E5D15DE"/>
    <w:rsid w:val="3E6831F2"/>
    <w:rsid w:val="3E685E5E"/>
    <w:rsid w:val="3E704C35"/>
    <w:rsid w:val="3E7316CB"/>
    <w:rsid w:val="3E771FD5"/>
    <w:rsid w:val="3E832F5F"/>
    <w:rsid w:val="3E83729F"/>
    <w:rsid w:val="3EA35B23"/>
    <w:rsid w:val="3EAF44FF"/>
    <w:rsid w:val="3EB06BA3"/>
    <w:rsid w:val="3ED0302D"/>
    <w:rsid w:val="3ED5235A"/>
    <w:rsid w:val="3EDA5340"/>
    <w:rsid w:val="3EDB78F9"/>
    <w:rsid w:val="3EFB7FD1"/>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70775"/>
    <w:rsid w:val="434F7D59"/>
    <w:rsid w:val="43513575"/>
    <w:rsid w:val="43527999"/>
    <w:rsid w:val="43553536"/>
    <w:rsid w:val="435B554B"/>
    <w:rsid w:val="436B23DE"/>
    <w:rsid w:val="43790671"/>
    <w:rsid w:val="438725B9"/>
    <w:rsid w:val="43CF6BCD"/>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64A87"/>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E53350"/>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9E9338D"/>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DC5973"/>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B741B"/>
    <w:rsid w:val="4CBF4B6F"/>
    <w:rsid w:val="4CCE38DC"/>
    <w:rsid w:val="4CE04381"/>
    <w:rsid w:val="4CE91422"/>
    <w:rsid w:val="4CFD051B"/>
    <w:rsid w:val="4D171AC3"/>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273BB"/>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6834C6"/>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563145"/>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86822"/>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8F8146E"/>
    <w:rsid w:val="59021A1C"/>
    <w:rsid w:val="590525A9"/>
    <w:rsid w:val="59296D9D"/>
    <w:rsid w:val="594B3F35"/>
    <w:rsid w:val="595E268E"/>
    <w:rsid w:val="596B1A25"/>
    <w:rsid w:val="596E3BBB"/>
    <w:rsid w:val="597B223C"/>
    <w:rsid w:val="5984486C"/>
    <w:rsid w:val="59874BEF"/>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CFE7D8B"/>
    <w:rsid w:val="5D035192"/>
    <w:rsid w:val="5D0C6764"/>
    <w:rsid w:val="5D193B8A"/>
    <w:rsid w:val="5D1A2BCC"/>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8F511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B7312"/>
    <w:rsid w:val="5FBD4362"/>
    <w:rsid w:val="5FD97DB6"/>
    <w:rsid w:val="5FDC5DB4"/>
    <w:rsid w:val="5FF60AC8"/>
    <w:rsid w:val="5FFE006B"/>
    <w:rsid w:val="601A26C3"/>
    <w:rsid w:val="601F0157"/>
    <w:rsid w:val="60264CE8"/>
    <w:rsid w:val="60340230"/>
    <w:rsid w:val="6040432D"/>
    <w:rsid w:val="60425E29"/>
    <w:rsid w:val="60474E7B"/>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668B3"/>
    <w:rsid w:val="630C63B9"/>
    <w:rsid w:val="634C244A"/>
    <w:rsid w:val="63581625"/>
    <w:rsid w:val="635902CD"/>
    <w:rsid w:val="6359154E"/>
    <w:rsid w:val="63660C1E"/>
    <w:rsid w:val="636810D4"/>
    <w:rsid w:val="63AB150B"/>
    <w:rsid w:val="63B44E9B"/>
    <w:rsid w:val="63C11EF5"/>
    <w:rsid w:val="63C40D91"/>
    <w:rsid w:val="63C55572"/>
    <w:rsid w:val="63C90630"/>
    <w:rsid w:val="63CC1082"/>
    <w:rsid w:val="63D94F4D"/>
    <w:rsid w:val="63E271B2"/>
    <w:rsid w:val="63E95A49"/>
    <w:rsid w:val="63F54718"/>
    <w:rsid w:val="63F77EDC"/>
    <w:rsid w:val="63FA567E"/>
    <w:rsid w:val="640A4B8F"/>
    <w:rsid w:val="640C4D77"/>
    <w:rsid w:val="640F772C"/>
    <w:rsid w:val="642E5B37"/>
    <w:rsid w:val="64480456"/>
    <w:rsid w:val="6449788C"/>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C5D0F"/>
    <w:rsid w:val="661E59C9"/>
    <w:rsid w:val="6621310D"/>
    <w:rsid w:val="66277FAF"/>
    <w:rsid w:val="66355606"/>
    <w:rsid w:val="664B5C0B"/>
    <w:rsid w:val="665244EE"/>
    <w:rsid w:val="66547455"/>
    <w:rsid w:val="666B43E4"/>
    <w:rsid w:val="6678346C"/>
    <w:rsid w:val="669B3234"/>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740AA3"/>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530CB1"/>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08E2"/>
    <w:rsid w:val="72A16B66"/>
    <w:rsid w:val="72A25AEE"/>
    <w:rsid w:val="72AF5368"/>
    <w:rsid w:val="72BC2E0B"/>
    <w:rsid w:val="72BF60CA"/>
    <w:rsid w:val="72D57759"/>
    <w:rsid w:val="72EA1DC7"/>
    <w:rsid w:val="72F41282"/>
    <w:rsid w:val="72FE7563"/>
    <w:rsid w:val="730D377F"/>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8771F"/>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B6635D"/>
    <w:rsid w:val="77C067C3"/>
    <w:rsid w:val="77D3696A"/>
    <w:rsid w:val="77DB19DB"/>
    <w:rsid w:val="77E50650"/>
    <w:rsid w:val="77EF51A2"/>
    <w:rsid w:val="780479BF"/>
    <w:rsid w:val="78094BD7"/>
    <w:rsid w:val="780D6C4F"/>
    <w:rsid w:val="78134DB8"/>
    <w:rsid w:val="78157472"/>
    <w:rsid w:val="782010F3"/>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40C89"/>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E6680C"/>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1D61AE"/>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6254CB"/>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unhideWhenUsed/>
    <w:qFormat/>
    <w:uiPriority w:val="9"/>
    <w:pPr>
      <w:keepNext/>
      <w:keepLines/>
      <w:spacing w:before="280" w:beforeLines="0" w:beforeAutospacing="0" w:after="290" w:afterLines="0" w:afterAutospacing="0" w:line="372" w:lineRule="auto"/>
      <w:outlineLvl w:val="3"/>
    </w:pPr>
    <w:rPr>
      <w:rFonts w:ascii="Arial" w:hAnsi="Arial" w:eastAsia="黑体"/>
      <w:sz w:val="28"/>
    </w:rPr>
  </w:style>
  <w:style w:type="paragraph" w:styleId="6">
    <w:name w:val="heading 6"/>
    <w:basedOn w:val="1"/>
    <w:next w:val="1"/>
    <w:unhideWhenUsed/>
    <w:qFormat/>
    <w:uiPriority w:val="9"/>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basedOn w:val="20"/>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0">
    <w:name w:val="B2"/>
    <w:basedOn w:val="11"/>
    <w:qFormat/>
    <w:uiPriority w:val="0"/>
  </w:style>
  <w:style w:type="paragraph" w:customStyle="1" w:styleId="61">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2">
    <w:name w:val="스타일 스타일 스타일 스타일 양쪽 첫 줄:  2 글자 + 첫 줄:  2 글자 + 첫 줄:  2 글자 + 첫 줄:  2..."/>
    <w:basedOn w:val="63"/>
    <w:qFormat/>
    <w:uiPriority w:val="0"/>
    <w:pPr>
      <w:spacing w:line="336" w:lineRule="auto"/>
    </w:pPr>
  </w:style>
  <w:style w:type="paragraph" w:customStyle="1" w:styleId="63">
    <w:name w:val="스타일 스타일 스타일 양쪽 첫 줄:  2 글자 + 첫 줄:  2 글자 + 첫 줄:  2 글자"/>
    <w:basedOn w:val="64"/>
    <w:qFormat/>
    <w:uiPriority w:val="0"/>
    <w:pPr>
      <w:spacing w:line="312" w:lineRule="auto"/>
    </w:pPr>
  </w:style>
  <w:style w:type="paragraph" w:customStyle="1" w:styleId="64">
    <w:name w:val="스타일 스타일 양쪽 첫 줄:  2 글자 + 첫 줄:  2 글자"/>
    <w:basedOn w:val="65"/>
    <w:qFormat/>
    <w:uiPriority w:val="0"/>
    <w:pPr>
      <w:spacing w:line="300" w:lineRule="auto"/>
    </w:pPr>
  </w:style>
  <w:style w:type="paragraph" w:customStyle="1" w:styleId="65">
    <w:name w:val="스타일 양쪽 첫 줄:  2 글자"/>
    <w:basedOn w:val="1"/>
    <w:qFormat/>
    <w:uiPriority w:val="0"/>
    <w:pPr>
      <w:spacing w:line="288" w:lineRule="auto"/>
      <w:ind w:firstLine="200" w:firstLineChars="200"/>
      <w:jc w:val="both"/>
    </w:pPr>
    <w:rPr>
      <w:rFonts w:cs="Batang"/>
    </w:rPr>
  </w:style>
  <w:style w:type="paragraph" w:customStyle="1" w:styleId="66">
    <w:name w:val="Reference"/>
    <w:basedOn w:val="10"/>
    <w:qFormat/>
    <w:locked/>
    <w:uiPriority w:val="99"/>
    <w:pPr>
      <w:numPr>
        <w:ilvl w:val="0"/>
        <w:numId w:val="3"/>
      </w:numPr>
    </w:pPr>
  </w:style>
  <w:style w:type="paragraph" w:customStyle="1" w:styleId="67">
    <w:name w:val="Guidance"/>
    <w:basedOn w:val="1"/>
    <w:qFormat/>
    <w:uiPriority w:val="0"/>
    <w:pPr>
      <w:textAlignment w:val="auto"/>
    </w:pPr>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6.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548</Words>
  <Characters>3128</Characters>
  <Lines>26</Lines>
  <Paragraphs>7</Paragraphs>
  <TotalTime>0</TotalTime>
  <ScaleCrop>false</ScaleCrop>
  <LinksUpToDate>false</LinksUpToDate>
  <CharactersWithSpaces>3669</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ZTE-Chenchen</cp:lastModifiedBy>
  <cp:lastPrinted>2015-02-02T11:17:00Z</cp:lastPrinted>
  <dcterms:modified xsi:type="dcterms:W3CDTF">2025-10-03T03:59:01Z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28ED74877E8945EBA25559CFA691162C</vt:lpwstr>
  </property>
</Properties>
</file>